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kern w:val="0"/>
          <w:sz w:val="44"/>
          <w:szCs w:val="44"/>
          <w:lang w:val="en-US" w:eastAsia="zh-CN" w:bidi="ar"/>
        </w:rPr>
      </w:pPr>
    </w:p>
    <w:p>
      <w:pPr>
        <w:keepNext w:val="0"/>
        <w:keepLines w:val="0"/>
        <w:pageBreakBefore w:val="0"/>
        <w:widowControl/>
        <w:numPr>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kern w:val="0"/>
          <w:sz w:val="44"/>
          <w:szCs w:val="44"/>
          <w:lang w:val="en-US" w:eastAsia="zh-CN" w:bidi="ar"/>
        </w:rPr>
      </w:pPr>
    </w:p>
    <w:p>
      <w:pPr>
        <w:keepNext w:val="0"/>
        <w:keepLines w:val="0"/>
        <w:pageBreakBefore w:val="0"/>
        <w:widowControl/>
        <w:numPr>
          <w:numId w:val="0"/>
        </w:numPr>
        <w:kinsoku/>
        <w:wordWrap/>
        <w:overflowPunct/>
        <w:topLinePunct w:val="0"/>
        <w:autoSpaceDE/>
        <w:autoSpaceDN/>
        <w:bidi w:val="0"/>
        <w:adjustRightInd/>
        <w:snapToGrid/>
        <w:spacing w:line="600" w:lineRule="exact"/>
        <w:jc w:val="center"/>
        <w:textAlignment w:val="auto"/>
        <w:outlineLvl w:val="9"/>
        <w:rPr>
          <w:rFonts w:hint="default" w:ascii="方正小标宋_GBK" w:hAnsi="方正小标宋_GBK" w:eastAsia="方正小标宋_GBK" w:cs="方正小标宋_GBK"/>
          <w:b w:val="0"/>
          <w:bCs w:val="0"/>
          <w:kern w:val="0"/>
          <w:sz w:val="44"/>
          <w:szCs w:val="44"/>
          <w:lang w:val="en-US" w:eastAsia="zh-CN" w:bidi="ar"/>
        </w:rPr>
      </w:pPr>
      <w:r>
        <w:rPr>
          <w:rFonts w:hint="eastAsia" w:ascii="方正小标宋_GBK" w:hAnsi="方正小标宋_GBK" w:eastAsia="方正小标宋_GBK" w:cs="方正小标宋_GBK"/>
          <w:b w:val="0"/>
          <w:bCs w:val="0"/>
          <w:kern w:val="0"/>
          <w:sz w:val="44"/>
          <w:szCs w:val="44"/>
          <w:lang w:val="en-US" w:eastAsia="zh-CN" w:bidi="ar"/>
        </w:rPr>
        <w:t>专业质量标准体系建设</w:t>
      </w:r>
    </w:p>
    <w:p>
      <w:pPr>
        <w:keepNext w:val="0"/>
        <w:keepLines w:val="0"/>
        <w:pageBreakBefore w:val="0"/>
        <w:widowControl/>
        <w:numPr>
          <w:numId w:val="0"/>
        </w:numPr>
        <w:kinsoku/>
        <w:wordWrap/>
        <w:overflowPunct/>
        <w:topLinePunct w:val="0"/>
        <w:autoSpaceDE/>
        <w:autoSpaceDN/>
        <w:bidi w:val="0"/>
        <w:adjustRightInd/>
        <w:snapToGrid/>
        <w:spacing w:line="600" w:lineRule="exact"/>
        <w:jc w:val="center"/>
        <w:textAlignment w:val="auto"/>
        <w:outlineLvl w:val="9"/>
        <w:rPr>
          <w:rFonts w:hint="default" w:ascii="方正小标宋_GBK" w:hAnsi="方正小标宋_GBK" w:eastAsia="方正小标宋_GBK" w:cs="方正小标宋_GBK"/>
          <w:b w:val="0"/>
          <w:bCs w:val="0"/>
          <w:kern w:val="0"/>
          <w:sz w:val="44"/>
          <w:szCs w:val="44"/>
          <w:lang w:val="en-US" w:eastAsia="zh-CN" w:bidi="ar"/>
        </w:rPr>
      </w:pPr>
      <w:bookmarkStart w:id="5" w:name="_GoBack"/>
      <w:bookmarkEnd w:id="5"/>
      <w:r>
        <w:rPr>
          <w:rFonts w:hint="eastAsia" w:ascii="方正小标宋_GBK" w:hAnsi="方正小标宋_GBK" w:eastAsia="方正小标宋_GBK" w:cs="方正小标宋_GBK"/>
          <w:b w:val="0"/>
          <w:bCs w:val="0"/>
          <w:kern w:val="0"/>
          <w:sz w:val="44"/>
          <w:szCs w:val="44"/>
          <w:lang w:val="en-US" w:eastAsia="zh-CN" w:bidi="ar"/>
        </w:rPr>
        <w:t>佐证资料</w:t>
      </w:r>
    </w:p>
    <w:p>
      <w:pPr>
        <w:keepNext w:val="0"/>
        <w:keepLines w:val="0"/>
        <w:pageBreakBefore w:val="0"/>
        <w:widowControl/>
        <w:numPr>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val="0"/>
          <w:kern w:val="0"/>
          <w:sz w:val="44"/>
          <w:szCs w:val="44"/>
          <w:lang w:val="en-US" w:eastAsia="zh-CN" w:bidi="ar"/>
        </w:rPr>
      </w:pPr>
    </w:p>
    <w:sdt>
      <w:sdtPr>
        <w:rPr>
          <w:rFonts w:hint="eastAsia" w:ascii="方正黑体_GBK" w:hAnsi="方正黑体_GBK" w:eastAsia="方正黑体_GBK" w:cs="方正黑体_GBK"/>
          <w:kern w:val="2"/>
          <w:sz w:val="32"/>
          <w:szCs w:val="32"/>
          <w:lang w:val="en-US" w:eastAsia="zh-CN" w:bidi="ar-SA"/>
        </w:rPr>
        <w:id w:val="147457538"/>
        <w:docPartObj>
          <w:docPartGallery w:val="Table of Contents"/>
          <w:docPartUnique/>
        </w:docPartObj>
      </w:sdtPr>
      <w:sdtEndPr>
        <w:rPr>
          <w:rFonts w:hint="eastAsia" w:ascii="方正黑体_GBK" w:hAnsi="方正黑体_GBK" w:eastAsia="方正黑体_GBK" w:cs="方正黑体_GBK"/>
          <w:bCs w:val="0"/>
          <w:kern w:val="0"/>
          <w:sz w:val="21"/>
          <w:szCs w:val="32"/>
          <w:lang w:val="en-US" w:eastAsia="zh-CN" w:bidi="ar"/>
        </w:rPr>
      </w:sdtEndPr>
      <w:sdtContent>
        <w:p>
          <w:pPr>
            <w:spacing w:before="0" w:beforeLines="0" w:after="0" w:afterLines="0" w:line="240" w:lineRule="auto"/>
            <w:ind w:left="0" w:leftChars="0" w:right="0" w:rightChars="0" w:firstLine="0" w:firstLineChars="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目</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录</w:t>
          </w:r>
        </w:p>
        <w:p>
          <w:pPr>
            <w:pStyle w:val="4"/>
            <w:tabs>
              <w:tab w:val="right" w:leader="dot" w:pos="9072"/>
            </w:tabs>
            <w:rPr>
              <w:sz w:val="28"/>
              <w:szCs w:val="28"/>
            </w:rPr>
          </w:pPr>
          <w:r>
            <w:rPr>
              <w:rFonts w:hint="eastAsia" w:ascii="方正黑体_GBK" w:hAnsi="方正黑体_GBK" w:eastAsia="方正黑体_GBK" w:cs="方正黑体_GBK"/>
              <w:b w:val="0"/>
              <w:bCs w:val="0"/>
              <w:kern w:val="0"/>
              <w:sz w:val="28"/>
              <w:szCs w:val="28"/>
              <w:lang w:val="en-US" w:eastAsia="zh-CN" w:bidi="ar"/>
            </w:rPr>
            <w:fldChar w:fldCharType="begin"/>
          </w:r>
          <w:r>
            <w:rPr>
              <w:rFonts w:hint="eastAsia" w:ascii="方正黑体_GBK" w:hAnsi="方正黑体_GBK" w:eastAsia="方正黑体_GBK" w:cs="方正黑体_GBK"/>
              <w:b w:val="0"/>
              <w:bCs w:val="0"/>
              <w:kern w:val="0"/>
              <w:sz w:val="28"/>
              <w:szCs w:val="28"/>
              <w:lang w:val="en-US" w:eastAsia="zh-CN" w:bidi="ar"/>
            </w:rPr>
            <w:instrText xml:space="preserve">TOC \o "1-3" \h \u </w:instrText>
          </w:r>
          <w:r>
            <w:rPr>
              <w:rFonts w:hint="eastAsia" w:ascii="方正黑体_GBK" w:hAnsi="方正黑体_GBK" w:eastAsia="方正黑体_GBK" w:cs="方正黑体_GBK"/>
              <w:b w:val="0"/>
              <w:bCs w:val="0"/>
              <w:kern w:val="0"/>
              <w:sz w:val="28"/>
              <w:szCs w:val="28"/>
              <w:lang w:val="en-US" w:eastAsia="zh-CN" w:bidi="ar"/>
            </w:rPr>
            <w:fldChar w:fldCharType="separate"/>
          </w:r>
          <w:r>
            <w:rPr>
              <w:rFonts w:hint="eastAsia" w:ascii="方正黑体_GBK" w:hAnsi="方正黑体_GBK" w:eastAsia="方正黑体_GBK" w:cs="方正黑体_GBK"/>
              <w:bCs w:val="0"/>
              <w:kern w:val="0"/>
              <w:sz w:val="28"/>
              <w:szCs w:val="28"/>
              <w:lang w:val="en-US" w:eastAsia="zh-CN" w:bidi="ar"/>
            </w:rPr>
            <w:fldChar w:fldCharType="begin"/>
          </w:r>
          <w:r>
            <w:rPr>
              <w:rFonts w:hint="eastAsia" w:ascii="方正黑体_GBK" w:hAnsi="方正黑体_GBK" w:eastAsia="方正黑体_GBK" w:cs="方正黑体_GBK"/>
              <w:bCs w:val="0"/>
              <w:kern w:val="0"/>
              <w:sz w:val="28"/>
              <w:szCs w:val="28"/>
              <w:lang w:val="en-US" w:eastAsia="zh-CN" w:bidi="ar"/>
            </w:rPr>
            <w:instrText xml:space="preserve"> HYPERLINK \l _Toc29397 </w:instrText>
          </w:r>
          <w:r>
            <w:rPr>
              <w:rFonts w:hint="eastAsia" w:ascii="方正黑体_GBK" w:hAnsi="方正黑体_GBK" w:eastAsia="方正黑体_GBK" w:cs="方正黑体_GBK"/>
              <w:bCs w:val="0"/>
              <w:kern w:val="0"/>
              <w:sz w:val="28"/>
              <w:szCs w:val="28"/>
              <w:lang w:val="en-US" w:eastAsia="zh-CN" w:bidi="ar"/>
            </w:rPr>
            <w:fldChar w:fldCharType="separate"/>
          </w:r>
          <w:r>
            <w:rPr>
              <w:rFonts w:hint="eastAsia" w:ascii="方正黑体_GBK" w:hAnsi="方正黑体_GBK" w:eastAsia="方正黑体_GBK" w:cs="方正黑体_GBK"/>
              <w:bCs w:val="0"/>
              <w:kern w:val="0"/>
              <w:sz w:val="28"/>
              <w:szCs w:val="28"/>
              <w:lang w:val="en-US" w:eastAsia="zh-CN" w:bidi="ar"/>
            </w:rPr>
            <w:t>一、 教学诊断与改进及质量标准体系建设方案</w:t>
          </w:r>
          <w:r>
            <w:rPr>
              <w:sz w:val="28"/>
              <w:szCs w:val="28"/>
            </w:rPr>
            <w:tab/>
          </w:r>
          <w:r>
            <w:rPr>
              <w:sz w:val="28"/>
              <w:szCs w:val="28"/>
            </w:rPr>
            <w:fldChar w:fldCharType="begin"/>
          </w:r>
          <w:r>
            <w:rPr>
              <w:sz w:val="28"/>
              <w:szCs w:val="28"/>
            </w:rPr>
            <w:instrText xml:space="preserve"> PAGEREF _Toc29397 </w:instrText>
          </w:r>
          <w:r>
            <w:rPr>
              <w:sz w:val="28"/>
              <w:szCs w:val="28"/>
            </w:rPr>
            <w:fldChar w:fldCharType="separate"/>
          </w:r>
          <w:r>
            <w:rPr>
              <w:sz w:val="28"/>
              <w:szCs w:val="28"/>
            </w:rPr>
            <w:t>2</w:t>
          </w:r>
          <w:r>
            <w:rPr>
              <w:sz w:val="28"/>
              <w:szCs w:val="28"/>
            </w:rPr>
            <w:fldChar w:fldCharType="end"/>
          </w:r>
          <w:r>
            <w:rPr>
              <w:rFonts w:hint="eastAsia" w:ascii="方正黑体_GBK" w:hAnsi="方正黑体_GBK" w:eastAsia="方正黑体_GBK" w:cs="方正黑体_GBK"/>
              <w:bCs w:val="0"/>
              <w:kern w:val="0"/>
              <w:sz w:val="28"/>
              <w:szCs w:val="28"/>
              <w:lang w:val="en-US" w:eastAsia="zh-CN" w:bidi="ar"/>
            </w:rPr>
            <w:fldChar w:fldCharType="end"/>
          </w:r>
        </w:p>
        <w:p>
          <w:pPr>
            <w:pStyle w:val="4"/>
            <w:tabs>
              <w:tab w:val="right" w:leader="dot" w:pos="9072"/>
            </w:tabs>
            <w:rPr>
              <w:sz w:val="28"/>
              <w:szCs w:val="28"/>
            </w:rPr>
          </w:pPr>
          <w:r>
            <w:rPr>
              <w:rFonts w:hint="eastAsia" w:ascii="方正黑体_GBK" w:hAnsi="方正黑体_GBK" w:eastAsia="方正黑体_GBK" w:cs="方正黑体_GBK"/>
              <w:bCs w:val="0"/>
              <w:kern w:val="0"/>
              <w:sz w:val="28"/>
              <w:szCs w:val="28"/>
              <w:lang w:val="en-US" w:eastAsia="zh-CN" w:bidi="ar"/>
            </w:rPr>
            <w:fldChar w:fldCharType="begin"/>
          </w:r>
          <w:r>
            <w:rPr>
              <w:rFonts w:hint="eastAsia" w:ascii="方正黑体_GBK" w:hAnsi="方正黑体_GBK" w:eastAsia="方正黑体_GBK" w:cs="方正黑体_GBK"/>
              <w:bCs w:val="0"/>
              <w:kern w:val="0"/>
              <w:sz w:val="28"/>
              <w:szCs w:val="28"/>
              <w:lang w:val="en-US" w:eastAsia="zh-CN" w:bidi="ar"/>
            </w:rPr>
            <w:instrText xml:space="preserve"> HYPERLINK \l _Toc27440 </w:instrText>
          </w:r>
          <w:r>
            <w:rPr>
              <w:rFonts w:hint="eastAsia" w:ascii="方正黑体_GBK" w:hAnsi="方正黑体_GBK" w:eastAsia="方正黑体_GBK" w:cs="方正黑体_GBK"/>
              <w:bCs w:val="0"/>
              <w:kern w:val="0"/>
              <w:sz w:val="28"/>
              <w:szCs w:val="28"/>
              <w:lang w:val="en-US" w:eastAsia="zh-CN" w:bidi="ar"/>
            </w:rPr>
            <w:fldChar w:fldCharType="separate"/>
          </w:r>
          <w:r>
            <w:rPr>
              <w:rFonts w:hint="eastAsia" w:ascii="方正黑体_GBK" w:hAnsi="方正黑体_GBK" w:eastAsia="方正黑体_GBK" w:cs="方正黑体_GBK"/>
              <w:bCs w:val="0"/>
              <w:kern w:val="0"/>
              <w:sz w:val="28"/>
              <w:szCs w:val="28"/>
              <w:lang w:val="zh-CN" w:eastAsia="zh-CN" w:bidi="ar"/>
            </w:rPr>
            <w:t>二、 重庆市南川隆化职业中学校教学工作诊断与改进管理办法</w:t>
          </w:r>
          <w:r>
            <w:rPr>
              <w:sz w:val="28"/>
              <w:szCs w:val="28"/>
            </w:rPr>
            <w:tab/>
          </w:r>
          <w:r>
            <w:rPr>
              <w:sz w:val="28"/>
              <w:szCs w:val="28"/>
            </w:rPr>
            <w:fldChar w:fldCharType="begin"/>
          </w:r>
          <w:r>
            <w:rPr>
              <w:sz w:val="28"/>
              <w:szCs w:val="28"/>
            </w:rPr>
            <w:instrText xml:space="preserve"> PAGEREF _Toc27440 </w:instrText>
          </w:r>
          <w:r>
            <w:rPr>
              <w:sz w:val="28"/>
              <w:szCs w:val="28"/>
            </w:rPr>
            <w:fldChar w:fldCharType="separate"/>
          </w:r>
          <w:r>
            <w:rPr>
              <w:sz w:val="28"/>
              <w:szCs w:val="28"/>
            </w:rPr>
            <w:t>7</w:t>
          </w:r>
          <w:r>
            <w:rPr>
              <w:sz w:val="28"/>
              <w:szCs w:val="28"/>
            </w:rPr>
            <w:fldChar w:fldCharType="end"/>
          </w:r>
          <w:r>
            <w:rPr>
              <w:rFonts w:hint="eastAsia" w:ascii="方正黑体_GBK" w:hAnsi="方正黑体_GBK" w:eastAsia="方正黑体_GBK" w:cs="方正黑体_GBK"/>
              <w:bCs w:val="0"/>
              <w:kern w:val="0"/>
              <w:sz w:val="28"/>
              <w:szCs w:val="28"/>
              <w:lang w:val="en-US" w:eastAsia="zh-CN" w:bidi="ar"/>
            </w:rPr>
            <w:fldChar w:fldCharType="end"/>
          </w:r>
        </w:p>
        <w:p>
          <w:pPr>
            <w:pStyle w:val="4"/>
            <w:tabs>
              <w:tab w:val="right" w:leader="dot" w:pos="9072"/>
            </w:tabs>
            <w:rPr>
              <w:sz w:val="28"/>
              <w:szCs w:val="28"/>
            </w:rPr>
          </w:pPr>
          <w:r>
            <w:rPr>
              <w:rFonts w:hint="eastAsia" w:ascii="方正黑体_GBK" w:hAnsi="方正黑体_GBK" w:eastAsia="方正黑体_GBK" w:cs="方正黑体_GBK"/>
              <w:bCs w:val="0"/>
              <w:kern w:val="0"/>
              <w:sz w:val="28"/>
              <w:szCs w:val="28"/>
              <w:lang w:val="en-US" w:eastAsia="zh-CN" w:bidi="ar"/>
            </w:rPr>
            <w:fldChar w:fldCharType="begin"/>
          </w:r>
          <w:r>
            <w:rPr>
              <w:rFonts w:hint="eastAsia" w:ascii="方正黑体_GBK" w:hAnsi="方正黑体_GBK" w:eastAsia="方正黑体_GBK" w:cs="方正黑体_GBK"/>
              <w:bCs w:val="0"/>
              <w:kern w:val="0"/>
              <w:sz w:val="28"/>
              <w:szCs w:val="28"/>
              <w:lang w:val="en-US" w:eastAsia="zh-CN" w:bidi="ar"/>
            </w:rPr>
            <w:instrText xml:space="preserve"> HYPERLINK \l _Toc14310 </w:instrText>
          </w:r>
          <w:r>
            <w:rPr>
              <w:rFonts w:hint="eastAsia" w:ascii="方正黑体_GBK" w:hAnsi="方正黑体_GBK" w:eastAsia="方正黑体_GBK" w:cs="方正黑体_GBK"/>
              <w:bCs w:val="0"/>
              <w:kern w:val="0"/>
              <w:sz w:val="28"/>
              <w:szCs w:val="28"/>
              <w:lang w:val="en-US" w:eastAsia="zh-CN" w:bidi="ar"/>
            </w:rPr>
            <w:fldChar w:fldCharType="separate"/>
          </w:r>
          <w:r>
            <w:rPr>
              <w:rFonts w:hint="eastAsia" w:ascii="方正黑体_GBK" w:hAnsi="方正黑体_GBK" w:eastAsia="方正黑体_GBK" w:cs="方正黑体_GBK"/>
              <w:bCs w:val="0"/>
              <w:kern w:val="0"/>
              <w:sz w:val="28"/>
              <w:szCs w:val="28"/>
              <w:lang w:val="zh-CN" w:eastAsia="zh-CN" w:bidi="ar"/>
            </w:rPr>
            <w:t xml:space="preserve">三、 </w:t>
          </w:r>
          <w:r>
            <w:rPr>
              <w:rFonts w:hint="eastAsia" w:ascii="方正黑体_GBK" w:hAnsi="方正黑体_GBK" w:eastAsia="方正黑体_GBK" w:cs="方正黑体_GBK"/>
              <w:bCs w:val="0"/>
              <w:kern w:val="0"/>
              <w:sz w:val="28"/>
              <w:szCs w:val="28"/>
              <w:lang w:val="en-US" w:eastAsia="zh-CN" w:bidi="ar"/>
            </w:rPr>
            <w:t>电子技术应用专业</w:t>
          </w:r>
          <w:r>
            <w:rPr>
              <w:rFonts w:hint="eastAsia" w:ascii="方正黑体_GBK" w:hAnsi="方正黑体_GBK" w:eastAsia="方正黑体_GBK" w:cs="方正黑体_GBK"/>
              <w:bCs w:val="0"/>
              <w:kern w:val="0"/>
              <w:sz w:val="28"/>
              <w:szCs w:val="28"/>
              <w:lang w:val="zh-CN" w:eastAsia="zh-CN" w:bidi="ar"/>
            </w:rPr>
            <w:t>现代学徒制教学质量多元评价主体方案</w:t>
          </w:r>
          <w:r>
            <w:rPr>
              <w:sz w:val="28"/>
              <w:szCs w:val="28"/>
            </w:rPr>
            <w:tab/>
          </w:r>
          <w:r>
            <w:rPr>
              <w:sz w:val="28"/>
              <w:szCs w:val="28"/>
            </w:rPr>
            <w:fldChar w:fldCharType="begin"/>
          </w:r>
          <w:r>
            <w:rPr>
              <w:sz w:val="28"/>
              <w:szCs w:val="28"/>
            </w:rPr>
            <w:instrText xml:space="preserve"> PAGEREF _Toc14310 </w:instrText>
          </w:r>
          <w:r>
            <w:rPr>
              <w:sz w:val="28"/>
              <w:szCs w:val="28"/>
            </w:rPr>
            <w:fldChar w:fldCharType="separate"/>
          </w:r>
          <w:r>
            <w:rPr>
              <w:sz w:val="28"/>
              <w:szCs w:val="28"/>
            </w:rPr>
            <w:t>14</w:t>
          </w:r>
          <w:r>
            <w:rPr>
              <w:sz w:val="28"/>
              <w:szCs w:val="28"/>
            </w:rPr>
            <w:fldChar w:fldCharType="end"/>
          </w:r>
          <w:r>
            <w:rPr>
              <w:rFonts w:hint="eastAsia" w:ascii="方正黑体_GBK" w:hAnsi="方正黑体_GBK" w:eastAsia="方正黑体_GBK" w:cs="方正黑体_GBK"/>
              <w:bCs w:val="0"/>
              <w:kern w:val="0"/>
              <w:sz w:val="28"/>
              <w:szCs w:val="28"/>
              <w:lang w:val="en-US" w:eastAsia="zh-CN" w:bidi="ar"/>
            </w:rPr>
            <w:fldChar w:fldCharType="end"/>
          </w:r>
        </w:p>
        <w:p>
          <w:pPr>
            <w:pStyle w:val="4"/>
            <w:tabs>
              <w:tab w:val="right" w:leader="dot" w:pos="9072"/>
            </w:tabs>
            <w:rPr>
              <w:sz w:val="28"/>
              <w:szCs w:val="28"/>
            </w:rPr>
          </w:pPr>
          <w:r>
            <w:rPr>
              <w:rFonts w:hint="eastAsia" w:ascii="方正黑体_GBK" w:hAnsi="方正黑体_GBK" w:eastAsia="方正黑体_GBK" w:cs="方正黑体_GBK"/>
              <w:bCs w:val="0"/>
              <w:kern w:val="0"/>
              <w:sz w:val="28"/>
              <w:szCs w:val="28"/>
              <w:lang w:val="en-US" w:eastAsia="zh-CN" w:bidi="ar"/>
            </w:rPr>
            <w:fldChar w:fldCharType="begin"/>
          </w:r>
          <w:r>
            <w:rPr>
              <w:rFonts w:hint="eastAsia" w:ascii="方正黑体_GBK" w:hAnsi="方正黑体_GBK" w:eastAsia="方正黑体_GBK" w:cs="方正黑体_GBK"/>
              <w:bCs w:val="0"/>
              <w:kern w:val="0"/>
              <w:sz w:val="28"/>
              <w:szCs w:val="28"/>
              <w:lang w:val="en-US" w:eastAsia="zh-CN" w:bidi="ar"/>
            </w:rPr>
            <w:instrText xml:space="preserve"> HYPERLINK \l _Toc1184 </w:instrText>
          </w:r>
          <w:r>
            <w:rPr>
              <w:rFonts w:hint="eastAsia" w:ascii="方正黑体_GBK" w:hAnsi="方正黑体_GBK" w:eastAsia="方正黑体_GBK" w:cs="方正黑体_GBK"/>
              <w:bCs w:val="0"/>
              <w:kern w:val="0"/>
              <w:sz w:val="28"/>
              <w:szCs w:val="28"/>
              <w:lang w:val="en-US" w:eastAsia="zh-CN" w:bidi="ar"/>
            </w:rPr>
            <w:fldChar w:fldCharType="separate"/>
          </w:r>
          <w:r>
            <w:rPr>
              <w:rFonts w:hint="eastAsia" w:ascii="方正黑体_GBK" w:hAnsi="方正黑体_GBK" w:eastAsia="方正黑体_GBK" w:cs="方正黑体_GBK"/>
              <w:bCs w:val="0"/>
              <w:kern w:val="0"/>
              <w:sz w:val="28"/>
              <w:szCs w:val="28"/>
              <w:lang w:val="en-US" w:eastAsia="zh-CN" w:bidi="ar"/>
            </w:rPr>
            <w:t>四、 电子技术应用专业现代学徒制教学质量评价方案</w:t>
          </w:r>
          <w:r>
            <w:rPr>
              <w:sz w:val="28"/>
              <w:szCs w:val="28"/>
            </w:rPr>
            <w:tab/>
          </w:r>
          <w:r>
            <w:rPr>
              <w:sz w:val="28"/>
              <w:szCs w:val="28"/>
            </w:rPr>
            <w:fldChar w:fldCharType="begin"/>
          </w:r>
          <w:r>
            <w:rPr>
              <w:sz w:val="28"/>
              <w:szCs w:val="28"/>
            </w:rPr>
            <w:instrText xml:space="preserve"> PAGEREF _Toc1184 </w:instrText>
          </w:r>
          <w:r>
            <w:rPr>
              <w:sz w:val="28"/>
              <w:szCs w:val="28"/>
            </w:rPr>
            <w:fldChar w:fldCharType="separate"/>
          </w:r>
          <w:r>
            <w:rPr>
              <w:sz w:val="28"/>
              <w:szCs w:val="28"/>
            </w:rPr>
            <w:t>18</w:t>
          </w:r>
          <w:r>
            <w:rPr>
              <w:sz w:val="28"/>
              <w:szCs w:val="28"/>
            </w:rPr>
            <w:fldChar w:fldCharType="end"/>
          </w:r>
          <w:r>
            <w:rPr>
              <w:rFonts w:hint="eastAsia" w:ascii="方正黑体_GBK" w:hAnsi="方正黑体_GBK" w:eastAsia="方正黑体_GBK" w:cs="方正黑体_GBK"/>
              <w:bCs w:val="0"/>
              <w:kern w:val="0"/>
              <w:sz w:val="28"/>
              <w:szCs w:val="28"/>
              <w:lang w:val="en-US" w:eastAsia="zh-CN" w:bidi="ar"/>
            </w:rPr>
            <w:fldChar w:fldCharType="end"/>
          </w:r>
        </w:p>
        <w:p>
          <w:pPr>
            <w:pStyle w:val="4"/>
            <w:tabs>
              <w:tab w:val="right" w:leader="dot" w:pos="9072"/>
            </w:tabs>
            <w:rPr>
              <w:sz w:val="28"/>
              <w:szCs w:val="28"/>
            </w:rPr>
          </w:pPr>
          <w:r>
            <w:rPr>
              <w:rFonts w:hint="eastAsia" w:ascii="方正黑体_GBK" w:hAnsi="方正黑体_GBK" w:eastAsia="方正黑体_GBK" w:cs="方正黑体_GBK"/>
              <w:bCs w:val="0"/>
              <w:kern w:val="0"/>
              <w:sz w:val="28"/>
              <w:szCs w:val="28"/>
              <w:lang w:val="en-US" w:eastAsia="zh-CN" w:bidi="ar"/>
            </w:rPr>
            <w:fldChar w:fldCharType="begin"/>
          </w:r>
          <w:r>
            <w:rPr>
              <w:rFonts w:hint="eastAsia" w:ascii="方正黑体_GBK" w:hAnsi="方正黑体_GBK" w:eastAsia="方正黑体_GBK" w:cs="方正黑体_GBK"/>
              <w:bCs w:val="0"/>
              <w:kern w:val="0"/>
              <w:sz w:val="28"/>
              <w:szCs w:val="28"/>
              <w:lang w:val="en-US" w:eastAsia="zh-CN" w:bidi="ar"/>
            </w:rPr>
            <w:instrText xml:space="preserve"> HYPERLINK \l _Toc18771 </w:instrText>
          </w:r>
          <w:r>
            <w:rPr>
              <w:rFonts w:hint="eastAsia" w:ascii="方正黑体_GBK" w:hAnsi="方正黑体_GBK" w:eastAsia="方正黑体_GBK" w:cs="方正黑体_GBK"/>
              <w:bCs w:val="0"/>
              <w:kern w:val="0"/>
              <w:sz w:val="28"/>
              <w:szCs w:val="28"/>
              <w:lang w:val="en-US" w:eastAsia="zh-CN" w:bidi="ar"/>
            </w:rPr>
            <w:fldChar w:fldCharType="separate"/>
          </w:r>
          <w:r>
            <w:rPr>
              <w:rFonts w:hint="eastAsia" w:ascii="方正黑体_GBK" w:hAnsi="方正黑体_GBK" w:eastAsia="方正黑体_GBK" w:cs="方正黑体_GBK"/>
              <w:bCs w:val="0"/>
              <w:kern w:val="0"/>
              <w:sz w:val="28"/>
              <w:szCs w:val="28"/>
              <w:lang w:val="en-US" w:eastAsia="zh-CN" w:bidi="ar"/>
            </w:rPr>
            <w:t>五、 电子技术应用专业教学工作质量标准</w:t>
          </w:r>
          <w:r>
            <w:rPr>
              <w:sz w:val="28"/>
              <w:szCs w:val="28"/>
            </w:rPr>
            <w:tab/>
          </w:r>
          <w:r>
            <w:rPr>
              <w:sz w:val="28"/>
              <w:szCs w:val="28"/>
            </w:rPr>
            <w:fldChar w:fldCharType="begin"/>
          </w:r>
          <w:r>
            <w:rPr>
              <w:sz w:val="28"/>
              <w:szCs w:val="28"/>
            </w:rPr>
            <w:instrText xml:space="preserve"> PAGEREF _Toc18771 </w:instrText>
          </w:r>
          <w:r>
            <w:rPr>
              <w:sz w:val="28"/>
              <w:szCs w:val="28"/>
            </w:rPr>
            <w:fldChar w:fldCharType="separate"/>
          </w:r>
          <w:r>
            <w:rPr>
              <w:sz w:val="28"/>
              <w:szCs w:val="28"/>
            </w:rPr>
            <w:t>27</w:t>
          </w:r>
          <w:r>
            <w:rPr>
              <w:sz w:val="28"/>
              <w:szCs w:val="28"/>
            </w:rPr>
            <w:fldChar w:fldCharType="end"/>
          </w:r>
          <w:r>
            <w:rPr>
              <w:rFonts w:hint="eastAsia" w:ascii="方正黑体_GBK" w:hAnsi="方正黑体_GBK" w:eastAsia="方正黑体_GBK" w:cs="方正黑体_GBK"/>
              <w:bCs w:val="0"/>
              <w:kern w:val="0"/>
              <w:sz w:val="28"/>
              <w:szCs w:val="28"/>
              <w:lang w:val="en-US" w:eastAsia="zh-CN" w:bidi="ar"/>
            </w:rPr>
            <w:fldChar w:fldCharType="end"/>
          </w:r>
        </w:p>
        <w:p>
          <w:pPr>
            <w:keepNext w:val="0"/>
            <w:keepLines w:val="0"/>
            <w:pageBreakBefore w:val="0"/>
            <w:widowControl/>
            <w:numPr>
              <w:numId w:val="0"/>
            </w:numPr>
            <w:kinsoku/>
            <w:wordWrap/>
            <w:overflowPunct/>
            <w:topLinePunct w:val="0"/>
            <w:autoSpaceDE/>
            <w:autoSpaceDN/>
            <w:bidi w:val="0"/>
            <w:adjustRightInd/>
            <w:snapToGrid/>
            <w:spacing w:line="500" w:lineRule="exact"/>
            <w:jc w:val="left"/>
            <w:textAlignment w:val="auto"/>
            <w:outlineLvl w:val="9"/>
            <w:rPr>
              <w:rFonts w:hint="eastAsia" w:ascii="方正黑体_GBK" w:hAnsi="方正黑体_GBK" w:eastAsia="方正黑体_GBK" w:cs="方正黑体_GBK"/>
              <w:b w:val="0"/>
              <w:bCs w:val="0"/>
              <w:kern w:val="0"/>
              <w:sz w:val="32"/>
              <w:szCs w:val="32"/>
              <w:lang w:val="en-US" w:eastAsia="zh-CN" w:bidi="ar"/>
            </w:rPr>
          </w:pPr>
          <w:r>
            <w:rPr>
              <w:rFonts w:hint="eastAsia" w:ascii="方正黑体_GBK" w:hAnsi="方正黑体_GBK" w:eastAsia="方正黑体_GBK" w:cs="方正黑体_GBK"/>
              <w:bCs w:val="0"/>
              <w:kern w:val="0"/>
              <w:sz w:val="28"/>
              <w:szCs w:val="28"/>
              <w:lang w:val="en-US" w:eastAsia="zh-CN" w:bidi="ar"/>
            </w:rPr>
            <w:fldChar w:fldCharType="end"/>
          </w:r>
        </w:p>
      </w:sdtContent>
    </w:sdt>
    <w:p>
      <w:pPr>
        <w:keepNext w:val="0"/>
        <w:keepLines w:val="0"/>
        <w:pageBreakBefore w:val="0"/>
        <w:widowControl/>
        <w:numPr>
          <w:numId w:val="0"/>
        </w:numPr>
        <w:kinsoku/>
        <w:wordWrap/>
        <w:overflowPunct/>
        <w:topLinePunct w:val="0"/>
        <w:autoSpaceDE/>
        <w:autoSpaceDN/>
        <w:bidi w:val="0"/>
        <w:adjustRightInd/>
        <w:snapToGrid/>
        <w:spacing w:line="500" w:lineRule="exact"/>
        <w:jc w:val="left"/>
        <w:textAlignment w:val="auto"/>
        <w:outlineLvl w:val="9"/>
        <w:rPr>
          <w:rFonts w:hint="eastAsia" w:ascii="方正黑体_GBK" w:hAnsi="方正黑体_GBK" w:eastAsia="方正黑体_GBK" w:cs="方正黑体_GBK"/>
          <w:b w:val="0"/>
          <w:bCs w:val="0"/>
          <w:kern w:val="0"/>
          <w:sz w:val="32"/>
          <w:szCs w:val="32"/>
          <w:lang w:val="en-US" w:eastAsia="zh-CN" w:bidi="ar"/>
        </w:rPr>
      </w:pPr>
    </w:p>
    <w:p>
      <w:pPr>
        <w:outlineLvl w:val="9"/>
        <w:rPr>
          <w:rFonts w:hint="eastAsia" w:ascii="方正黑体_GBK" w:hAnsi="方正黑体_GBK" w:eastAsia="方正黑体_GBK" w:cs="方正黑体_GBK"/>
          <w:b w:val="0"/>
          <w:bCs w:val="0"/>
          <w:kern w:val="0"/>
          <w:sz w:val="32"/>
          <w:szCs w:val="32"/>
          <w:lang w:val="en-US" w:eastAsia="zh-CN" w:bidi="ar"/>
        </w:rPr>
      </w:pPr>
      <w:r>
        <w:rPr>
          <w:rFonts w:hint="eastAsia" w:ascii="方正黑体_GBK" w:hAnsi="方正黑体_GBK" w:eastAsia="方正黑体_GBK" w:cs="方正黑体_GBK"/>
          <w:b w:val="0"/>
          <w:bCs w:val="0"/>
          <w:kern w:val="0"/>
          <w:sz w:val="32"/>
          <w:szCs w:val="32"/>
          <w:lang w:val="en-US" w:eastAsia="zh-CN" w:bidi="ar"/>
        </w:rPr>
        <w:br w:type="page"/>
      </w:r>
    </w:p>
    <w:p>
      <w:pPr>
        <w:keepNext w:val="0"/>
        <w:keepLines w:val="0"/>
        <w:pageBreakBefore w:val="0"/>
        <w:widowControl/>
        <w:numPr>
          <w:ilvl w:val="0"/>
          <w:numId w:val="1"/>
        </w:numPr>
        <w:kinsoku/>
        <w:wordWrap/>
        <w:overflowPunct/>
        <w:topLinePunct w:val="0"/>
        <w:autoSpaceDE/>
        <w:autoSpaceDN/>
        <w:bidi w:val="0"/>
        <w:adjustRightInd/>
        <w:snapToGrid/>
        <w:spacing w:line="500" w:lineRule="exact"/>
        <w:jc w:val="left"/>
        <w:textAlignment w:val="auto"/>
        <w:outlineLvl w:val="0"/>
        <w:rPr>
          <w:rFonts w:hint="eastAsia" w:ascii="方正黑体_GBK" w:hAnsi="方正黑体_GBK" w:eastAsia="方正黑体_GBK" w:cs="方正黑体_GBK"/>
          <w:b w:val="0"/>
          <w:bCs w:val="0"/>
          <w:kern w:val="0"/>
          <w:sz w:val="32"/>
          <w:szCs w:val="32"/>
          <w:lang w:val="en-US" w:eastAsia="zh-CN" w:bidi="ar"/>
        </w:rPr>
      </w:pPr>
      <w:bookmarkStart w:id="0" w:name="_Toc29397"/>
      <w:r>
        <w:rPr>
          <w:rFonts w:hint="eastAsia" w:ascii="方正黑体_GBK" w:hAnsi="方正黑体_GBK" w:eastAsia="方正黑体_GBK" w:cs="方正黑体_GBK"/>
          <w:b w:val="0"/>
          <w:bCs w:val="0"/>
          <w:kern w:val="0"/>
          <w:sz w:val="32"/>
          <w:szCs w:val="32"/>
          <w:lang w:val="en-US" w:eastAsia="zh-CN" w:bidi="ar"/>
        </w:rPr>
        <w:t>教学诊断与改进及质量标准体系建设方案</w:t>
      </w:r>
      <w:bookmarkEnd w:id="0"/>
    </w:p>
    <w:p>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outlineLvl w:val="9"/>
        <w:rPr>
          <w:rFonts w:hint="default" w:ascii="方正黑体_GBK" w:hAnsi="方正黑体_GBK" w:eastAsia="方正黑体_GBK" w:cs="方正黑体_GBK"/>
          <w:b w:val="0"/>
          <w:bCs w:val="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rPr>
        <w:t>重庆市南川隆化职业中学校</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rPr>
        <w:t>教学诊断与改进及质量标准体系建设方案</w:t>
      </w:r>
    </w:p>
    <w:p>
      <w:pPr>
        <w:keepNext w:val="0"/>
        <w:keepLines w:val="0"/>
        <w:pageBreakBefore w:val="0"/>
        <w:widowControl/>
        <w:kinsoku/>
        <w:wordWrap/>
        <w:overflowPunct/>
        <w:topLinePunct w:val="0"/>
        <w:autoSpaceDE/>
        <w:autoSpaceDN/>
        <w:bidi w:val="0"/>
        <w:adjustRightInd/>
        <w:snapToGrid/>
        <w:spacing w:line="500" w:lineRule="exact"/>
        <w:ind w:firstLine="880" w:firstLineChars="200"/>
        <w:jc w:val="center"/>
        <w:textAlignment w:val="auto"/>
        <w:outlineLvl w:val="9"/>
        <w:rPr>
          <w:rFonts w:hint="eastAsia" w:ascii="方正小标宋_GBK" w:hAnsi="方正小标宋_GBK" w:eastAsia="方正小标宋_GBK" w:cs="方正小标宋_GBK"/>
          <w:color w:val="333949"/>
          <w:sz w:val="44"/>
          <w:szCs w:val="44"/>
          <w:lang w:val="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黑体_GBK" w:hAnsi="方正黑体_GBK" w:eastAsia="方正黑体_GBK" w:cs="方正黑体_GBK"/>
          <w:b w:val="0"/>
          <w:bCs w:val="0"/>
          <w:color w:val="auto"/>
          <w:kern w:val="0"/>
          <w:sz w:val="32"/>
          <w:szCs w:val="32"/>
          <w:lang w:val="zh-CN" w:eastAsia="zh-CN" w:bidi="ar"/>
        </w:rPr>
      </w:pPr>
      <w:r>
        <w:rPr>
          <w:rFonts w:hint="eastAsia" w:ascii="方正黑体_GBK" w:hAnsi="方正黑体_GBK" w:eastAsia="方正黑体_GBK" w:cs="方正黑体_GBK"/>
          <w:b w:val="0"/>
          <w:bCs w:val="0"/>
          <w:color w:val="auto"/>
          <w:kern w:val="0"/>
          <w:sz w:val="32"/>
          <w:szCs w:val="32"/>
          <w:lang w:val="zh-CN" w:eastAsia="zh-CN" w:bidi="ar"/>
        </w:rPr>
        <w:t>一、方案背景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lang w:val="zh-CN" w:eastAsia="zh-CN" w:bidi="ar"/>
        </w:rPr>
      </w:pPr>
      <w:r>
        <w:rPr>
          <w:rFonts w:hint="eastAsia" w:ascii="方正仿宋_GBK" w:hAnsi="方正仿宋_GBK" w:eastAsia="方正仿宋_GBK" w:cs="方正仿宋_GBK"/>
          <w:b w:val="0"/>
          <w:bCs w:val="0"/>
          <w:color w:val="auto"/>
          <w:kern w:val="0"/>
          <w:sz w:val="32"/>
          <w:szCs w:val="32"/>
          <w:lang w:val="zh-CN" w:eastAsia="zh-CN" w:bidi="ar"/>
        </w:rPr>
        <w:t>在科教兴国和强国人才战略背景下,职业院校开展质量评价具有极其重要的作用,高效的运行质量是衡量一所职业院校办学水平的重要依据,是学校发展的生命线,提高专业教学质量监控和评价对于提高教育教学质量起着决定性作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lang w:val="zh-CN" w:eastAsia="zh-CN" w:bidi="ar"/>
        </w:rPr>
      </w:pPr>
      <w:r>
        <w:rPr>
          <w:rFonts w:hint="eastAsia" w:ascii="方正仿宋_GBK" w:hAnsi="方正仿宋_GBK" w:eastAsia="方正仿宋_GBK" w:cs="方正仿宋_GBK"/>
          <w:b w:val="0"/>
          <w:bCs w:val="0"/>
          <w:color w:val="auto"/>
          <w:kern w:val="0"/>
          <w:sz w:val="32"/>
          <w:szCs w:val="32"/>
          <w:lang w:val="zh-CN" w:eastAsia="zh-CN" w:bidi="ar"/>
        </w:rPr>
        <w:t>根据国家相关文件要求,为推动我校专业教学质量评价工作,建立完善的专业质量评价体系,加强专业内涵建设,提高专业人才培养质量,促进学校高质量发展,结合学校当前双优建设项目优质专业建设任务,特制定本方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黑体_GBK" w:hAnsi="方正黑体_GBK" w:eastAsia="方正黑体_GBK" w:cs="方正黑体_GBK"/>
          <w:b w:val="0"/>
          <w:bCs w:val="0"/>
          <w:color w:val="auto"/>
          <w:kern w:val="0"/>
          <w:sz w:val="32"/>
          <w:szCs w:val="32"/>
          <w:lang w:val="zh-CN" w:eastAsia="zh-CN" w:bidi="ar"/>
        </w:rPr>
      </w:pPr>
      <w:r>
        <w:rPr>
          <w:rFonts w:hint="eastAsia" w:ascii="方正黑体_GBK" w:hAnsi="方正黑体_GBK" w:eastAsia="方正黑体_GBK" w:cs="方正黑体_GBK"/>
          <w:b w:val="0"/>
          <w:bCs w:val="0"/>
          <w:color w:val="auto"/>
          <w:kern w:val="0"/>
          <w:sz w:val="32"/>
          <w:szCs w:val="32"/>
          <w:lang w:val="zh-CN" w:eastAsia="zh-CN" w:bidi="ar"/>
        </w:rPr>
        <w:t>二、建设目标</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val="zh-CN"/>
        </w:rPr>
        <w:t>总体目标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lang w:val="zh-CN" w:eastAsia="zh-CN" w:bidi="ar"/>
        </w:rPr>
      </w:pPr>
      <w:r>
        <w:rPr>
          <w:rFonts w:hint="eastAsia" w:ascii="方正仿宋_GBK" w:hAnsi="方正仿宋_GBK" w:eastAsia="方正仿宋_GBK" w:cs="方正仿宋_GBK"/>
          <w:b w:val="0"/>
          <w:bCs w:val="0"/>
          <w:color w:val="auto"/>
          <w:kern w:val="0"/>
          <w:sz w:val="32"/>
          <w:szCs w:val="32"/>
          <w:lang w:val="zh-CN" w:eastAsia="zh-CN" w:bidi="ar"/>
        </w:rPr>
        <w:t>建设以教学诊断与改进为基础,服务学校专业形成多元多维评价机制和数字化支撑的评价系统。创新教育教学质量评价制度,建立适应行业发展要求和学生可持续发展需求的技术技能人才培养质量评价标准,把学生的职业道德、职业素养、技术技能水平、就业质量创业能力和用人单位满意度等作为衡量专业教育教学质量的重要组成指标,建立毕业生质量跟踪调查机制。开展专业教学诊断与改进工作,完善内部质量保证制度体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lang w:val="zh-CN" w:eastAsia="zh-CN" w:bidi="ar"/>
        </w:rPr>
      </w:pPr>
      <w:r>
        <w:rPr>
          <w:rFonts w:hint="eastAsia" w:ascii="方正仿宋_GBK" w:hAnsi="方正仿宋_GBK" w:eastAsia="方正仿宋_GBK" w:cs="方正仿宋_GBK"/>
          <w:b w:val="0"/>
          <w:bCs w:val="0"/>
          <w:color w:val="auto"/>
          <w:kern w:val="0"/>
          <w:sz w:val="32"/>
          <w:szCs w:val="32"/>
          <w:lang w:val="zh-CN" w:eastAsia="zh-CN" w:bidi="ar"/>
        </w:rPr>
        <w:t>建立社会第三方机构开展产教融合、校企协同育人绩效评价制度。让专业人才培养质量不断提高,弘扬劳模精神和工医精神教育活动取得明显成效,学生综合素质好,专业技能、职业素养、学习能力、创新能力得到充分发展,在各级各类比赛中成绩优异,毕业生就业质量水平逐步提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楷体_GBK" w:hAnsi="方正楷体_GBK" w:eastAsia="方正楷体_GBK" w:cs="方正楷体_GBK"/>
          <w:color w:val="auto"/>
          <w:sz w:val="32"/>
          <w:szCs w:val="32"/>
          <w:lang w:val="zh-CN"/>
        </w:rPr>
      </w:pP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val="zh-CN"/>
        </w:rPr>
        <w:t>具体目标</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方正仿宋_GBK" w:hAnsi="方正仿宋_GBK" w:eastAsia="方正仿宋_GBK" w:cs="方正仿宋_GBK"/>
          <w:b/>
          <w:bCs/>
          <w:color w:val="auto"/>
          <w:kern w:val="0"/>
          <w:sz w:val="32"/>
          <w:szCs w:val="32"/>
          <w:lang w:val="zh-CN" w:eastAsia="zh-CN" w:bidi="ar"/>
        </w:rPr>
      </w:pPr>
      <w:r>
        <w:rPr>
          <w:rFonts w:hint="eastAsia" w:ascii="方正仿宋_GBK" w:hAnsi="方正仿宋_GBK" w:eastAsia="方正仿宋_GBK" w:cs="方正仿宋_GBK"/>
          <w:b/>
          <w:bCs/>
          <w:color w:val="auto"/>
          <w:kern w:val="0"/>
          <w:sz w:val="32"/>
          <w:szCs w:val="32"/>
          <w:lang w:val="en-US" w:eastAsia="zh-CN" w:bidi="ar"/>
        </w:rPr>
        <w:t>1.</w:t>
      </w:r>
      <w:r>
        <w:rPr>
          <w:rFonts w:hint="eastAsia" w:ascii="方正仿宋_GBK" w:hAnsi="方正仿宋_GBK" w:eastAsia="方正仿宋_GBK" w:cs="方正仿宋_GBK"/>
          <w:b/>
          <w:bCs/>
          <w:color w:val="auto"/>
          <w:kern w:val="0"/>
          <w:sz w:val="32"/>
          <w:szCs w:val="32"/>
          <w:lang w:val="zh-CN" w:eastAsia="zh-CN" w:bidi="ar"/>
        </w:rPr>
        <w:t>创新教学质量评价机制完善多元化评价体系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lang w:val="zh-CN" w:eastAsia="zh-CN" w:bidi="ar"/>
        </w:rPr>
      </w:pPr>
      <w:r>
        <w:rPr>
          <w:rFonts w:hint="eastAsia" w:ascii="方正仿宋_GBK" w:hAnsi="方正仿宋_GBK" w:eastAsia="方正仿宋_GBK" w:cs="方正仿宋_GBK"/>
          <w:b w:val="0"/>
          <w:bCs w:val="0"/>
          <w:color w:val="auto"/>
          <w:kern w:val="0"/>
          <w:sz w:val="32"/>
          <w:szCs w:val="32"/>
          <w:lang w:val="zh-CN" w:eastAsia="zh-CN" w:bidi="ar"/>
        </w:rPr>
        <w:t>建立教学质量评价制度完善组织机构实现常态化运行：邀请行业企业及服务对象共同参与制定多元化评价体系制定评价指标、实施方案及所需资料通过开展落实形成评价结果并实际运用建设数字化平台开展常态化质量评价依托数据的采集与分析呈现质量状况使学校及时监控质量随时改进。</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lang w:val="zh-CN" w:eastAsia="zh-CN" w:bidi="ar"/>
        </w:rPr>
      </w:pPr>
      <w:r>
        <w:rPr>
          <w:rFonts w:hint="eastAsia" w:ascii="方正仿宋_GBK" w:hAnsi="方正仿宋_GBK" w:eastAsia="方正仿宋_GBK" w:cs="方正仿宋_GBK"/>
          <w:b w:val="0"/>
          <w:bCs w:val="0"/>
          <w:color w:val="auto"/>
          <w:kern w:val="0"/>
          <w:sz w:val="32"/>
          <w:szCs w:val="32"/>
          <w:lang w:val="zh-CN" w:eastAsia="zh-CN" w:bidi="ar"/>
        </w:rPr>
        <w:t>（</w:t>
      </w:r>
      <w:r>
        <w:rPr>
          <w:rFonts w:hint="eastAsia" w:ascii="方正仿宋_GBK" w:hAnsi="方正仿宋_GBK" w:eastAsia="方正仿宋_GBK" w:cs="方正仿宋_GBK"/>
          <w:b w:val="0"/>
          <w:bCs w:val="0"/>
          <w:color w:val="auto"/>
          <w:kern w:val="0"/>
          <w:sz w:val="32"/>
          <w:szCs w:val="32"/>
          <w:lang w:val="en-US" w:eastAsia="zh-CN" w:bidi="ar"/>
        </w:rPr>
        <w:t>1</w:t>
      </w:r>
      <w:r>
        <w:rPr>
          <w:rFonts w:hint="eastAsia" w:ascii="方正仿宋_GBK" w:hAnsi="方正仿宋_GBK" w:eastAsia="方正仿宋_GBK" w:cs="方正仿宋_GBK"/>
          <w:b w:val="0"/>
          <w:bCs w:val="0"/>
          <w:color w:val="auto"/>
          <w:kern w:val="0"/>
          <w:sz w:val="32"/>
          <w:szCs w:val="32"/>
          <w:lang w:val="zh-CN" w:eastAsia="zh-CN" w:bidi="ar"/>
        </w:rPr>
        <w:t>）建立学生学业评价机制推进专业教学标准落地实施。通过对学生在校学习数据的全面采第和分析进行学生学业的评价。使用数智化的课堂管理和教学模式对学生的课堂表现和平时表现的情况进行无感知的数据采集通过智能化技术手段进行大数据分析对学生通过课堂表现、平时实践等多方面做出学业的评价。评价不仅要关注学生的学业成绩而且要发现和发展学生多方面的潜能了解学生发展中的需求发挥评价的教育功能。职业院校应从学生的学习态度、学习方法、实践和技能常握情况等应多维度设计结合学生的学业成绩综合平时的表现评价不局限于卷面成绩才能更客观的做到职业院校的学业评价的真正效果从而来促进学校专业建设的完备性和教学标准的落地实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lang w:val="zh-CN" w:eastAsia="zh-CN" w:bidi="ar"/>
        </w:rPr>
      </w:pPr>
      <w:r>
        <w:rPr>
          <w:rFonts w:hint="eastAsia" w:ascii="方正仿宋_GBK" w:hAnsi="方正仿宋_GBK" w:eastAsia="方正仿宋_GBK" w:cs="方正仿宋_GBK"/>
          <w:b w:val="0"/>
          <w:bCs w:val="0"/>
          <w:color w:val="auto"/>
          <w:kern w:val="0"/>
          <w:sz w:val="32"/>
          <w:szCs w:val="32"/>
          <w:lang w:val="zh-CN" w:eastAsia="zh-CN" w:bidi="ar"/>
        </w:rPr>
        <w:t>（</w:t>
      </w:r>
      <w:r>
        <w:rPr>
          <w:rFonts w:hint="eastAsia" w:ascii="方正仿宋_GBK" w:hAnsi="方正仿宋_GBK" w:eastAsia="方正仿宋_GBK" w:cs="方正仿宋_GBK"/>
          <w:b w:val="0"/>
          <w:bCs w:val="0"/>
          <w:color w:val="auto"/>
          <w:kern w:val="0"/>
          <w:sz w:val="32"/>
          <w:szCs w:val="32"/>
          <w:lang w:val="en-US" w:eastAsia="zh-CN" w:bidi="ar"/>
        </w:rPr>
        <w:t>2）</w:t>
      </w:r>
      <w:r>
        <w:rPr>
          <w:rFonts w:hint="eastAsia" w:ascii="方正仿宋_GBK" w:hAnsi="方正仿宋_GBK" w:eastAsia="方正仿宋_GBK" w:cs="方正仿宋_GBK"/>
          <w:b w:val="0"/>
          <w:bCs w:val="0"/>
          <w:color w:val="auto"/>
          <w:kern w:val="0"/>
          <w:sz w:val="32"/>
          <w:szCs w:val="32"/>
          <w:lang w:val="zh-CN" w:eastAsia="zh-CN" w:bidi="ar"/>
        </w:rPr>
        <w:t>建立教学质量评价机制提升教师专业知识技能成长。通过对教学过程中各项教学质量指标收集以及各维度对教学质量结果的评价建立教学质量评价机制。教学质量评价不仅需要做到学生、教师、家长.社会等多维度主观的评价。还需要建立教学质量客观的评价机制对于已经成熟的专业教学标准应制定具体的该专业的教学质指标和标准通过这些指标的达成情况使用数字化系统平台对主客多维的数据分析和汇总反应学校真实客观的教学质量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lang w:val="zh-CN" w:eastAsia="zh-CN" w:bidi="ar"/>
        </w:rPr>
      </w:pPr>
      <w:r>
        <w:rPr>
          <w:rFonts w:hint="eastAsia" w:ascii="方正仿宋_GBK" w:hAnsi="方正仿宋_GBK" w:eastAsia="方正仿宋_GBK" w:cs="方正仿宋_GBK"/>
          <w:b w:val="0"/>
          <w:bCs w:val="0"/>
          <w:color w:val="auto"/>
          <w:kern w:val="0"/>
          <w:sz w:val="32"/>
          <w:szCs w:val="32"/>
          <w:lang w:val="zh-CN" w:eastAsia="zh-CN" w:bidi="ar"/>
        </w:rPr>
        <w:t>（</w:t>
      </w:r>
      <w:r>
        <w:rPr>
          <w:rFonts w:hint="eastAsia" w:ascii="方正仿宋_GBK" w:hAnsi="方正仿宋_GBK" w:eastAsia="方正仿宋_GBK" w:cs="方正仿宋_GBK"/>
          <w:b w:val="0"/>
          <w:bCs w:val="0"/>
          <w:color w:val="auto"/>
          <w:kern w:val="0"/>
          <w:sz w:val="32"/>
          <w:szCs w:val="32"/>
          <w:lang w:val="en-US" w:eastAsia="zh-CN" w:bidi="ar"/>
        </w:rPr>
        <w:t>3）</w:t>
      </w:r>
      <w:r>
        <w:rPr>
          <w:rFonts w:hint="eastAsia" w:ascii="方正仿宋_GBK" w:hAnsi="方正仿宋_GBK" w:eastAsia="方正仿宋_GBK" w:cs="方正仿宋_GBK"/>
          <w:b w:val="0"/>
          <w:bCs w:val="0"/>
          <w:color w:val="auto"/>
          <w:kern w:val="0"/>
          <w:sz w:val="32"/>
          <w:szCs w:val="32"/>
          <w:lang w:val="zh-CN" w:eastAsia="zh-CN" w:bidi="ar"/>
        </w:rPr>
        <w:t>就业质量跟踪调查机制,强化专业随着产业动态调整。通过对用人企业和单位、学生本人、以及社会各相关方面等,开展问卷调研的方式,收集多方面意见和建议反馈,掌握学生的就业情况。对于就业情况复杂信息不便统一收集、执行、分析、汇总、以及物理位置空间限制等情况,应使用信息化就业管理系统来协助完成。学生就业后应及时通过系统反馈就业以及就业变动情况,学校通过对就业学生的相关主体发布相应的评价问卷,相关主体及时对执行反馈评价内容,通过信息化系统分析汇总,对其中的重点情况进行统计、分析向学校提供相关的调查报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lang w:val="zh-CN" w:eastAsia="zh-CN" w:bidi="ar"/>
        </w:rPr>
      </w:pPr>
      <w:r>
        <w:rPr>
          <w:rFonts w:hint="eastAsia" w:ascii="方正仿宋_GBK" w:hAnsi="方正仿宋_GBK" w:eastAsia="方正仿宋_GBK" w:cs="方正仿宋_GBK"/>
          <w:b w:val="0"/>
          <w:bCs w:val="0"/>
          <w:color w:val="auto"/>
          <w:kern w:val="0"/>
          <w:sz w:val="32"/>
          <w:szCs w:val="32"/>
          <w:lang w:val="zh-CN" w:eastAsia="zh-CN" w:bidi="ar"/>
        </w:rPr>
        <w:t>（</w:t>
      </w:r>
      <w:r>
        <w:rPr>
          <w:rFonts w:hint="eastAsia" w:ascii="方正仿宋_GBK" w:hAnsi="方正仿宋_GBK" w:eastAsia="方正仿宋_GBK" w:cs="方正仿宋_GBK"/>
          <w:b w:val="0"/>
          <w:bCs w:val="0"/>
          <w:color w:val="auto"/>
          <w:kern w:val="0"/>
          <w:sz w:val="32"/>
          <w:szCs w:val="32"/>
          <w:lang w:val="en-US" w:eastAsia="zh-CN" w:bidi="ar"/>
        </w:rPr>
        <w:t>4）</w:t>
      </w:r>
      <w:r>
        <w:rPr>
          <w:rFonts w:hint="eastAsia" w:ascii="方正仿宋_GBK" w:hAnsi="方正仿宋_GBK" w:eastAsia="方正仿宋_GBK" w:cs="方正仿宋_GBK"/>
          <w:b w:val="0"/>
          <w:bCs w:val="0"/>
          <w:color w:val="auto"/>
          <w:kern w:val="0"/>
          <w:sz w:val="32"/>
          <w:szCs w:val="32"/>
          <w:lang w:val="zh-CN" w:eastAsia="zh-CN" w:bidi="ar"/>
        </w:rPr>
        <w:t>完善教学质量评价系统体系建设与服务。通过实施学生学业质量评价机制,使学生德智体美劳全面发展,不断提高职业技能水平。做成常规管理表格,开展统计与分析提供撰写模板。</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lang w:val="zh-CN" w:eastAsia="zh-CN" w:bidi="ar"/>
        </w:rPr>
      </w:pPr>
      <w:r>
        <w:rPr>
          <w:rFonts w:hint="eastAsia" w:ascii="方正仿宋_GBK" w:hAnsi="方正仿宋_GBK" w:eastAsia="方正仿宋_GBK" w:cs="方正仿宋_GBK"/>
          <w:b w:val="0"/>
          <w:bCs w:val="0"/>
          <w:color w:val="auto"/>
          <w:kern w:val="0"/>
          <w:sz w:val="32"/>
          <w:szCs w:val="32"/>
          <w:lang w:val="zh-CN" w:eastAsia="zh-CN" w:bidi="ar"/>
        </w:rPr>
        <w:t>（</w:t>
      </w:r>
      <w:r>
        <w:rPr>
          <w:rFonts w:hint="eastAsia" w:ascii="方正仿宋_GBK" w:hAnsi="方正仿宋_GBK" w:eastAsia="方正仿宋_GBK" w:cs="方正仿宋_GBK"/>
          <w:b w:val="0"/>
          <w:bCs w:val="0"/>
          <w:color w:val="auto"/>
          <w:kern w:val="0"/>
          <w:sz w:val="32"/>
          <w:szCs w:val="32"/>
          <w:lang w:val="en-US" w:eastAsia="zh-CN" w:bidi="ar"/>
        </w:rPr>
        <w:t>5）</w:t>
      </w:r>
      <w:r>
        <w:rPr>
          <w:rFonts w:hint="eastAsia" w:ascii="方正仿宋_GBK" w:hAnsi="方正仿宋_GBK" w:eastAsia="方正仿宋_GBK" w:cs="方正仿宋_GBK"/>
          <w:b w:val="0"/>
          <w:bCs w:val="0"/>
          <w:color w:val="auto"/>
          <w:kern w:val="0"/>
          <w:sz w:val="32"/>
          <w:szCs w:val="32"/>
          <w:lang w:val="zh-CN" w:eastAsia="zh-CN" w:bidi="ar"/>
        </w:rPr>
        <w:t>完善教师能力评价体系系统建设与服务。提高专业教师教学质量为目的,把学生的职业道德、职业素养、技术技能水平、就业质量、创业能力和用人单位满意度等作为衡量专业教育教学质量的重要指标。做成常规管理表格,开展统计与分析;提供撰写模板。</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lang w:val="zh-CN" w:eastAsia="zh-CN" w:bidi="ar"/>
        </w:rPr>
      </w:pPr>
      <w:r>
        <w:rPr>
          <w:rFonts w:hint="eastAsia" w:ascii="方正仿宋_GBK" w:hAnsi="方正仿宋_GBK" w:eastAsia="方正仿宋_GBK" w:cs="方正仿宋_GBK"/>
          <w:b w:val="0"/>
          <w:bCs w:val="0"/>
          <w:color w:val="auto"/>
          <w:kern w:val="0"/>
          <w:sz w:val="32"/>
          <w:szCs w:val="32"/>
          <w:lang w:val="zh-CN" w:eastAsia="zh-CN" w:bidi="ar"/>
        </w:rPr>
        <w:t>（</w:t>
      </w:r>
      <w:r>
        <w:rPr>
          <w:rFonts w:hint="eastAsia" w:ascii="方正仿宋_GBK" w:hAnsi="方正仿宋_GBK" w:eastAsia="方正仿宋_GBK" w:cs="方正仿宋_GBK"/>
          <w:b w:val="0"/>
          <w:bCs w:val="0"/>
          <w:color w:val="auto"/>
          <w:kern w:val="0"/>
          <w:sz w:val="32"/>
          <w:szCs w:val="32"/>
          <w:lang w:val="en-US" w:eastAsia="zh-CN" w:bidi="ar"/>
        </w:rPr>
        <w:t>6）</w:t>
      </w:r>
      <w:r>
        <w:rPr>
          <w:rFonts w:hint="eastAsia" w:ascii="方正仿宋_GBK" w:hAnsi="方正仿宋_GBK" w:eastAsia="方正仿宋_GBK" w:cs="方正仿宋_GBK"/>
          <w:b w:val="0"/>
          <w:bCs w:val="0"/>
          <w:color w:val="auto"/>
          <w:kern w:val="0"/>
          <w:sz w:val="32"/>
          <w:szCs w:val="32"/>
          <w:lang w:val="zh-CN" w:eastAsia="zh-CN" w:bidi="ar"/>
        </w:rPr>
        <w:t>完善就业质量评价体系系统建设与服务。通过专业教学指导委员会讨论建立完善的毕业生跟踪服务机制,对每届毕业生跟踪调查3年,每年调查1次,第一次调查覆盖率要达到专业毕业生人数90%以上,第二次调查覆盖率要达到专业毕业生人数70%以上,第三次调查覆盖率要达到专业毕业生人数50%以上。根据会议讨论要求,做成管理表格、填空形式。网上调查,开展统计与分析;提供撰写模板。</w:t>
      </w:r>
    </w:p>
    <w:p>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方正仿宋_GBK" w:hAnsi="方正仿宋_GBK" w:eastAsia="方正仿宋_GBK" w:cs="方正仿宋_GBK"/>
          <w:b/>
          <w:bCs/>
          <w:color w:val="auto"/>
          <w:kern w:val="0"/>
          <w:sz w:val="32"/>
          <w:szCs w:val="32"/>
          <w:lang w:val="zh-CN" w:eastAsia="zh-CN" w:bidi="ar"/>
        </w:rPr>
      </w:pPr>
      <w:r>
        <w:rPr>
          <w:rFonts w:hint="eastAsia" w:ascii="方正仿宋_GBK" w:hAnsi="方正仿宋_GBK" w:eastAsia="方正仿宋_GBK" w:cs="方正仿宋_GBK"/>
          <w:b/>
          <w:bCs/>
          <w:color w:val="auto"/>
          <w:kern w:val="0"/>
          <w:sz w:val="32"/>
          <w:szCs w:val="32"/>
          <w:lang w:val="en-US" w:eastAsia="zh-CN" w:bidi="ar"/>
        </w:rPr>
        <w:t>2.</w:t>
      </w:r>
      <w:r>
        <w:rPr>
          <w:rFonts w:hint="eastAsia" w:ascii="方正仿宋_GBK" w:hAnsi="方正仿宋_GBK" w:eastAsia="方正仿宋_GBK" w:cs="方正仿宋_GBK"/>
          <w:b/>
          <w:bCs/>
          <w:color w:val="auto"/>
          <w:kern w:val="0"/>
          <w:sz w:val="32"/>
          <w:szCs w:val="32"/>
          <w:lang w:val="zh-CN" w:eastAsia="zh-CN" w:bidi="ar"/>
        </w:rPr>
        <w:t>完善教学质量诊断与改进体系及系统建设与服务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lang w:val="zh-CN" w:eastAsia="zh-CN" w:bidi="ar"/>
        </w:rPr>
      </w:pPr>
      <w:r>
        <w:rPr>
          <w:rFonts w:hint="eastAsia" w:ascii="方正仿宋_GBK" w:hAnsi="方正仿宋_GBK" w:eastAsia="方正仿宋_GBK" w:cs="方正仿宋_GBK"/>
          <w:b w:val="0"/>
          <w:bCs w:val="0"/>
          <w:color w:val="auto"/>
          <w:kern w:val="0"/>
          <w:sz w:val="32"/>
          <w:szCs w:val="32"/>
          <w:lang w:val="zh-CN" w:eastAsia="zh-CN" w:bidi="ar"/>
        </w:rPr>
        <w:t>围绕专业人才培养与社会需求的契合度、专业教学条件与人才培养的支撑度和专业人才培养目标的达成度进行专业建设质量诊断,并依托学校信息化平台大数据,实施人才培养质量过程监测。做成常规管理表格,开展教学诊断的改进工作统计与分析;提供撰写模板。</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lang w:val="zh-CN" w:eastAsia="zh-CN" w:bidi="ar"/>
        </w:rPr>
      </w:pPr>
      <w:r>
        <w:rPr>
          <w:rFonts w:hint="eastAsia" w:ascii="方正仿宋_GBK" w:hAnsi="方正仿宋_GBK" w:eastAsia="方正仿宋_GBK" w:cs="方正仿宋_GBK"/>
          <w:b w:val="0"/>
          <w:bCs w:val="0"/>
          <w:color w:val="auto"/>
          <w:kern w:val="0"/>
          <w:sz w:val="32"/>
          <w:szCs w:val="32"/>
          <w:lang w:val="zh-CN" w:eastAsia="zh-CN" w:bidi="ar"/>
        </w:rPr>
        <w:t>（</w:t>
      </w:r>
      <w:r>
        <w:rPr>
          <w:rFonts w:hint="eastAsia" w:ascii="方正仿宋_GBK" w:hAnsi="方正仿宋_GBK" w:eastAsia="方正仿宋_GBK" w:cs="方正仿宋_GBK"/>
          <w:b w:val="0"/>
          <w:bCs w:val="0"/>
          <w:color w:val="auto"/>
          <w:kern w:val="0"/>
          <w:sz w:val="32"/>
          <w:szCs w:val="32"/>
          <w:lang w:val="en-US" w:eastAsia="zh-CN" w:bidi="ar"/>
        </w:rPr>
        <w:t>1）</w:t>
      </w:r>
      <w:r>
        <w:rPr>
          <w:rFonts w:hint="eastAsia" w:ascii="方正仿宋_GBK" w:hAnsi="方正仿宋_GBK" w:eastAsia="方正仿宋_GBK" w:cs="方正仿宋_GBK"/>
          <w:b w:val="0"/>
          <w:bCs w:val="0"/>
          <w:color w:val="auto"/>
          <w:kern w:val="0"/>
          <w:sz w:val="32"/>
          <w:szCs w:val="32"/>
          <w:lang w:val="zh-CN" w:eastAsia="zh-CN" w:bidi="ar"/>
        </w:rPr>
        <w:t>充分利用已建设的基础设施,以解决问题为核心,注重推广应用,并借助互联网、智能化、物联网、人工智能、大数据分析等技术作为支撑,强化内涵建设,全校师生全程参与建设过程,全面提升职教学实力,构建完善的职教信息化建设生态圈,建立"从日常业务中收集数据、用数据进行管理、用数据进行决策、用数据进行创新"的新形态管理机制,从而达到提升职教数字化建设的需求和提升数字化管理的能力水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color w:val="auto"/>
          <w:kern w:val="0"/>
          <w:sz w:val="32"/>
          <w:szCs w:val="32"/>
          <w:lang w:val="zh-CN" w:eastAsia="zh-CN" w:bidi="ar"/>
        </w:rPr>
      </w:pPr>
      <w:r>
        <w:rPr>
          <w:rFonts w:hint="eastAsia" w:ascii="方正仿宋_GBK" w:hAnsi="方正仿宋_GBK" w:eastAsia="方正仿宋_GBK" w:cs="方正仿宋_GBK"/>
          <w:b w:val="0"/>
          <w:bCs w:val="0"/>
          <w:color w:val="auto"/>
          <w:kern w:val="0"/>
          <w:sz w:val="32"/>
          <w:szCs w:val="32"/>
          <w:lang w:val="zh-CN" w:eastAsia="zh-CN" w:bidi="ar"/>
        </w:rPr>
        <w:t>（</w:t>
      </w:r>
      <w:r>
        <w:rPr>
          <w:rFonts w:hint="eastAsia" w:ascii="方正仿宋_GBK" w:hAnsi="方正仿宋_GBK" w:eastAsia="方正仿宋_GBK" w:cs="方正仿宋_GBK"/>
          <w:b w:val="0"/>
          <w:bCs w:val="0"/>
          <w:color w:val="auto"/>
          <w:kern w:val="0"/>
          <w:sz w:val="32"/>
          <w:szCs w:val="32"/>
          <w:lang w:val="en-US" w:eastAsia="zh-CN" w:bidi="ar"/>
        </w:rPr>
        <w:t>2）</w:t>
      </w:r>
      <w:r>
        <w:rPr>
          <w:rFonts w:hint="eastAsia" w:ascii="方正仿宋_GBK" w:hAnsi="方正仿宋_GBK" w:eastAsia="方正仿宋_GBK" w:cs="方正仿宋_GBK"/>
          <w:b w:val="0"/>
          <w:bCs w:val="0"/>
          <w:color w:val="auto"/>
          <w:kern w:val="0"/>
          <w:sz w:val="32"/>
          <w:szCs w:val="32"/>
          <w:lang w:val="zh-CN" w:eastAsia="zh-CN" w:bidi="ar"/>
        </w:rPr>
        <w:t>按照符合国家以及教育相关部门制定的教学诊断与改进标准,提供和暴露相应的标准开放接口,以便于后续的开发和其他系统进行整合,同时与学校组建共同的工作小组,梳理业务流程、规范业务数据,制定出相应的业务数据标准,实现诊改信息化统一数据标准。</w:t>
      </w:r>
    </w:p>
    <w:p>
      <w:pPr>
        <w:rPr>
          <w:rFonts w:hint="eastAsia" w:ascii="方正仿宋_GBK" w:hAnsi="方正仿宋_GBK" w:eastAsia="方正仿宋_GBK" w:cs="方正仿宋_GBK"/>
          <w:b w:val="0"/>
          <w:bCs w:val="0"/>
          <w:color w:val="auto"/>
          <w:kern w:val="0"/>
          <w:sz w:val="32"/>
          <w:szCs w:val="32"/>
          <w:lang w:val="zh-CN" w:eastAsia="zh-CN" w:bidi="ar"/>
        </w:rPr>
      </w:pPr>
      <w:r>
        <w:rPr>
          <w:rFonts w:hint="eastAsia" w:ascii="方正仿宋_GBK" w:hAnsi="方正仿宋_GBK" w:eastAsia="方正仿宋_GBK" w:cs="方正仿宋_GBK"/>
          <w:b w:val="0"/>
          <w:bCs w:val="0"/>
          <w:color w:val="auto"/>
          <w:kern w:val="0"/>
          <w:sz w:val="32"/>
          <w:szCs w:val="32"/>
          <w:lang w:val="zh-CN" w:eastAsia="zh-CN" w:bidi="ar"/>
        </w:rPr>
        <w:br w:type="page"/>
      </w:r>
    </w:p>
    <w:p>
      <w:pPr>
        <w:keepNext w:val="0"/>
        <w:keepLines w:val="0"/>
        <w:pageBreakBefore w:val="0"/>
        <w:widowControl/>
        <w:numPr>
          <w:ilvl w:val="0"/>
          <w:numId w:val="1"/>
        </w:numPr>
        <w:kinsoku/>
        <w:wordWrap/>
        <w:overflowPunct/>
        <w:topLinePunct w:val="0"/>
        <w:autoSpaceDE/>
        <w:autoSpaceDN/>
        <w:bidi w:val="0"/>
        <w:adjustRightInd/>
        <w:snapToGrid/>
        <w:spacing w:line="500" w:lineRule="exact"/>
        <w:jc w:val="left"/>
        <w:textAlignment w:val="auto"/>
        <w:outlineLvl w:val="0"/>
        <w:rPr>
          <w:rFonts w:hint="eastAsia" w:ascii="方正黑体_GBK" w:hAnsi="方正黑体_GBK" w:eastAsia="方正黑体_GBK" w:cs="方正黑体_GBK"/>
          <w:b w:val="0"/>
          <w:bCs w:val="0"/>
          <w:kern w:val="0"/>
          <w:sz w:val="32"/>
          <w:szCs w:val="32"/>
          <w:lang w:val="zh-CN" w:eastAsia="zh-CN" w:bidi="ar"/>
        </w:rPr>
      </w:pPr>
      <w:bookmarkStart w:id="1" w:name="_Toc27440"/>
      <w:r>
        <w:rPr>
          <w:rFonts w:hint="eastAsia" w:ascii="方正黑体_GBK" w:hAnsi="方正黑体_GBK" w:eastAsia="方正黑体_GBK" w:cs="方正黑体_GBK"/>
          <w:b w:val="0"/>
          <w:bCs w:val="0"/>
          <w:kern w:val="0"/>
          <w:sz w:val="32"/>
          <w:szCs w:val="32"/>
          <w:lang w:val="zh-CN" w:eastAsia="zh-CN" w:bidi="ar"/>
        </w:rPr>
        <w:t>重庆市南川隆化职业中学校教学工作诊断与改进管理办法</w:t>
      </w:r>
      <w:bookmarkEnd w:id="1"/>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color w:val="333949"/>
          <w:sz w:val="44"/>
          <w:szCs w:val="44"/>
          <w:lang w:val="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rPr>
        <w:t>重庆市南川隆化职业中学校</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rPr>
        <w:t>教学工作诊断与改进管理办法</w:t>
      </w:r>
    </w:p>
    <w:p>
      <w:pPr>
        <w:keepNext w:val="0"/>
        <w:keepLines w:val="0"/>
        <w:pageBreakBefore w:val="0"/>
        <w:widowControl/>
        <w:kinsoku/>
        <w:wordWrap/>
        <w:overflowPunct/>
        <w:topLinePunct w:val="0"/>
        <w:autoSpaceDE/>
        <w:autoSpaceDN/>
        <w:bidi w:val="0"/>
        <w:adjustRightInd/>
        <w:snapToGrid/>
        <w:spacing w:beforeLines="0" w:afterLines="0" w:line="500" w:lineRule="exact"/>
        <w:ind w:firstLine="640" w:firstLineChars="200"/>
        <w:jc w:val="center"/>
        <w:textAlignment w:val="auto"/>
        <w:outlineLvl w:val="9"/>
        <w:rPr>
          <w:rFonts w:hint="eastAsia" w:ascii="方正小标宋_GBK" w:hAnsi="方正小标宋_GBK" w:eastAsia="方正小标宋_GBK" w:cs="方正小标宋_GBK"/>
          <w:color w:val="333949"/>
          <w:sz w:val="32"/>
          <w:szCs w:val="32"/>
          <w:lang w:val="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黑体_GBK" w:hAnsi="方正黑体_GBK" w:eastAsia="方正黑体_GBK" w:cs="方正黑体_GBK"/>
          <w:b w:val="0"/>
          <w:bCs w:val="0"/>
          <w:kern w:val="0"/>
          <w:sz w:val="32"/>
          <w:szCs w:val="32"/>
          <w:lang w:val="zh-CN" w:eastAsia="zh-CN" w:bidi="ar"/>
        </w:rPr>
      </w:pPr>
      <w:r>
        <w:rPr>
          <w:rFonts w:hint="eastAsia" w:ascii="方正黑体_GBK" w:hAnsi="方正黑体_GBK" w:eastAsia="方正黑体_GBK" w:cs="方正黑体_GBK"/>
          <w:b w:val="0"/>
          <w:bCs w:val="0"/>
          <w:kern w:val="0"/>
          <w:sz w:val="32"/>
          <w:szCs w:val="32"/>
          <w:lang w:val="zh-CN" w:eastAsia="zh-CN" w:bidi="ar"/>
        </w:rPr>
        <w:t>第一章</w:t>
      </w:r>
      <w:r>
        <w:rPr>
          <w:rFonts w:hint="eastAsia" w:ascii="方正黑体_GBK" w:hAnsi="方正黑体_GBK" w:eastAsia="方正黑体_GBK" w:cs="方正黑体_GBK"/>
          <w:b w:val="0"/>
          <w:bCs w:val="0"/>
          <w:kern w:val="0"/>
          <w:sz w:val="32"/>
          <w:szCs w:val="32"/>
          <w:lang w:val="en-US" w:eastAsia="zh-CN" w:bidi="ar"/>
        </w:rPr>
        <w:t xml:space="preserve"> </w:t>
      </w:r>
      <w:r>
        <w:rPr>
          <w:rFonts w:hint="eastAsia" w:ascii="方正黑体_GBK" w:hAnsi="方正黑体_GBK" w:eastAsia="方正黑体_GBK" w:cs="方正黑体_GBK"/>
          <w:b w:val="0"/>
          <w:bCs w:val="0"/>
          <w:kern w:val="0"/>
          <w:sz w:val="32"/>
          <w:szCs w:val="32"/>
          <w:lang w:val="zh-CN" w:eastAsia="zh-CN" w:bidi="ar"/>
        </w:rPr>
        <w:t>总则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第一条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为贯彻落实职教大会将神构建系部常态化教学工作诊断与改进制度加快推进专业内部质量保证体系建设工作结合实际制订本办法。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第二条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主要目标任务是按照“需求导向、自我保证多元诊断、重在改进”的工作方针构建以“五横五纵一平台”为基本框架的网络化、全覆盖、具有较强预警功能和激励作用的内部质量保证体系：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构建以《系部章程》为核心的制度体系构建以产业系总体发展目标为统领的目标体系构建由各层面工作标准、建设标准构成的标准体系：构建以系部数字化校园和人才培养数据采集平台为基础的教学工作诊断与改进信息化管理平台实现全员、全过程、全方位质量管理不断推动教育评价改革提升人才培养质童。</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黑体_GBK" w:hAnsi="方正黑体_GBK" w:eastAsia="方正黑体_GBK" w:cs="方正黑体_GBK"/>
          <w:b w:val="0"/>
          <w:bCs w:val="0"/>
          <w:kern w:val="0"/>
          <w:sz w:val="32"/>
          <w:szCs w:val="32"/>
          <w:lang w:val="zh-CN" w:eastAsia="zh-CN" w:bidi="ar"/>
        </w:rPr>
      </w:pPr>
      <w:r>
        <w:rPr>
          <w:rFonts w:hint="eastAsia" w:ascii="方正黑体_GBK" w:hAnsi="方正黑体_GBK" w:eastAsia="方正黑体_GBK" w:cs="方正黑体_GBK"/>
          <w:b w:val="0"/>
          <w:bCs w:val="0"/>
          <w:kern w:val="0"/>
          <w:sz w:val="32"/>
          <w:szCs w:val="32"/>
          <w:lang w:val="zh-CN" w:eastAsia="zh-CN" w:bidi="ar"/>
        </w:rPr>
        <w:t>第二章</w:t>
      </w:r>
      <w:r>
        <w:rPr>
          <w:rFonts w:hint="eastAsia" w:ascii="方正黑体_GBK" w:hAnsi="方正黑体_GBK" w:eastAsia="方正黑体_GBK" w:cs="方正黑体_GBK"/>
          <w:b w:val="0"/>
          <w:bCs w:val="0"/>
          <w:kern w:val="0"/>
          <w:sz w:val="32"/>
          <w:szCs w:val="32"/>
          <w:lang w:val="en-US" w:eastAsia="zh-CN" w:bidi="ar"/>
        </w:rPr>
        <w:t xml:space="preserve">  </w:t>
      </w:r>
      <w:r>
        <w:rPr>
          <w:rFonts w:hint="eastAsia" w:ascii="方正黑体_GBK" w:hAnsi="方正黑体_GBK" w:eastAsia="方正黑体_GBK" w:cs="方正黑体_GBK"/>
          <w:b w:val="0"/>
          <w:bCs w:val="0"/>
          <w:kern w:val="0"/>
          <w:sz w:val="32"/>
          <w:szCs w:val="32"/>
          <w:lang w:val="zh-CN" w:eastAsia="zh-CN" w:bidi="ar"/>
        </w:rPr>
        <w:t>基本原则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第三条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主体性原则。明确系部、专业、课程、教师、学生五个层面质量保证资任主体合理确定诊改内容、周期和方法。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第四条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可控性原则。遵循SMART原则（明确、可测、可达、相关、时限）系统设计系部、专业、课程、教师、学生等五个层面的质量目标和标准以教学工作诊断与改进信息化管理平台为手段实时监测控制目标、标准的执行进度与效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 xml:space="preserve"> 第五条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持续性原则。在系部、专业、谋程、教师、学生五个层面分别建立有效的“8字型质量改进螺旋”（8字型指各层面的完整工作流程即目标一标准一计划一组织一实施一诊断一激励一学习一创新改进。运行机制全面实施常态化、周期性的诊改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第六条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客观性原则。以系部人才培养状态数据及相关信息为基础实多求是地开展分析诊改为系部创新发展、特色发展提供决策依据。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黑体_GBK" w:hAnsi="方正黑体_GBK" w:eastAsia="方正黑体_GBK" w:cs="方正黑体_GBK"/>
          <w:b w:val="0"/>
          <w:bCs w:val="0"/>
          <w:kern w:val="0"/>
          <w:sz w:val="32"/>
          <w:szCs w:val="32"/>
          <w:lang w:val="zh-CN" w:eastAsia="zh-CN" w:bidi="ar"/>
        </w:rPr>
      </w:pPr>
      <w:r>
        <w:rPr>
          <w:rFonts w:hint="eastAsia" w:ascii="方正黑体_GBK" w:hAnsi="方正黑体_GBK" w:eastAsia="方正黑体_GBK" w:cs="方正黑体_GBK"/>
          <w:b w:val="0"/>
          <w:bCs w:val="0"/>
          <w:kern w:val="0"/>
          <w:sz w:val="32"/>
          <w:szCs w:val="32"/>
          <w:lang w:val="zh-CN" w:eastAsia="zh-CN" w:bidi="ar"/>
        </w:rPr>
        <w:t>第三章</w:t>
      </w:r>
      <w:r>
        <w:rPr>
          <w:rFonts w:hint="eastAsia" w:ascii="方正黑体_GBK" w:hAnsi="方正黑体_GBK" w:eastAsia="方正黑体_GBK" w:cs="方正黑体_GBK"/>
          <w:b w:val="0"/>
          <w:bCs w:val="0"/>
          <w:kern w:val="0"/>
          <w:sz w:val="32"/>
          <w:szCs w:val="32"/>
          <w:lang w:val="en-US" w:eastAsia="zh-CN" w:bidi="ar"/>
        </w:rPr>
        <w:t xml:space="preserve"> </w:t>
      </w:r>
      <w:r>
        <w:rPr>
          <w:rFonts w:hint="eastAsia" w:ascii="方正黑体_GBK" w:hAnsi="方正黑体_GBK" w:eastAsia="方正黑体_GBK" w:cs="方正黑体_GBK"/>
          <w:b w:val="0"/>
          <w:bCs w:val="0"/>
          <w:kern w:val="0"/>
          <w:sz w:val="32"/>
          <w:szCs w:val="32"/>
          <w:lang w:val="zh-CN" w:eastAsia="zh-CN" w:bidi="ar"/>
        </w:rPr>
        <w:t>诊改机构与职责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第七条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按照教育部和自治区教育厅有关要求系部建立常态化的诊改机构成立以分管领导任组长的教学工作诊断与改进领导小组领导小组下设办公室设在党政办统等各系部开展教学工作诊断与改进工作。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第八条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各系部成立教学工作诊断与改进小组由各系部负责人担任小组长并指定专人负责诊改工作。主要负责本单位本部门诊改方案、制度、目标、标准、报告等的制定与完善工作。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第九条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系部、专业、课程、教师、学生等五个层面的质量保证主体部门及其职责如下：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办公室：负责牵头组织各系部开展系部层面的诊改工作完成系部诊改报告负责上级部门对系部诊改工作的抽样复核：负责在系部网站上开设诊改工作专栏及时发布诊改工作相关或策与信息。</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教务科：负责牵头组织系部开展专业和课程层面的诊改工作并指导系部完成相关诊改报告。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教研室：负责牵头组织系部开展教师层面的诊改工作并指导系部完成相关诊改报告。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学生科：负责牵头组织教学系开展学生层面的诊改工作并指导数学系完成相关诊改报告。</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黑体_GBK" w:hAnsi="方正黑体_GBK" w:eastAsia="方正黑体_GBK" w:cs="方正黑体_GBK"/>
          <w:b w:val="0"/>
          <w:bCs w:val="0"/>
          <w:kern w:val="0"/>
          <w:sz w:val="32"/>
          <w:szCs w:val="32"/>
          <w:lang w:val="zh-CN" w:eastAsia="zh-CN" w:bidi="ar"/>
        </w:rPr>
      </w:pPr>
      <w:r>
        <w:rPr>
          <w:rFonts w:hint="eastAsia" w:ascii="方正黑体_GBK" w:hAnsi="方正黑体_GBK" w:eastAsia="方正黑体_GBK" w:cs="方正黑体_GBK"/>
          <w:b w:val="0"/>
          <w:bCs w:val="0"/>
          <w:kern w:val="0"/>
          <w:sz w:val="32"/>
          <w:szCs w:val="32"/>
          <w:lang w:val="zh-CN" w:eastAsia="zh-CN" w:bidi="ar"/>
        </w:rPr>
        <w:t>第四章</w:t>
      </w:r>
      <w:r>
        <w:rPr>
          <w:rFonts w:hint="eastAsia" w:ascii="方正黑体_GBK" w:hAnsi="方正黑体_GBK" w:eastAsia="方正黑体_GBK" w:cs="方正黑体_GBK"/>
          <w:b w:val="0"/>
          <w:bCs w:val="0"/>
          <w:kern w:val="0"/>
          <w:sz w:val="32"/>
          <w:szCs w:val="32"/>
          <w:lang w:val="en-US" w:eastAsia="zh-CN" w:bidi="ar"/>
        </w:rPr>
        <w:t xml:space="preserve"> </w:t>
      </w:r>
      <w:r>
        <w:rPr>
          <w:rFonts w:hint="eastAsia" w:ascii="方正黑体_GBK" w:hAnsi="方正黑体_GBK" w:eastAsia="方正黑体_GBK" w:cs="方正黑体_GBK"/>
          <w:b w:val="0"/>
          <w:bCs w:val="0"/>
          <w:kern w:val="0"/>
          <w:sz w:val="32"/>
          <w:szCs w:val="32"/>
          <w:lang w:val="zh-CN" w:eastAsia="zh-CN" w:bidi="ar"/>
        </w:rPr>
        <w:t>诊改目标与标准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第十条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对标教育部的相关诊断项目、诊断要素、诊断点要求,不断完善系部制度体系、目标体系和标准体系建设,打牢诊改工作基础。</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第十一条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以《系部章程》为核心,开展各级各类制度建设,将岗位职责、工作目标、工作标准不断以制度的形式体现出来。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第十二条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将系部“十四五”发展规划目标、“提质培优行动计划和双优计划”建设目标和年度工作目标有机结合起来,形成长短结合、上下贯通、前后呼应的目标链。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第十三条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以专业教学标准建设为核心,逐步建立完善各级各类工作标准体系,形成街接配套的标准链。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第十四条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按照系部、专业、课程、教师、学生五个层面,分年度（学年/学期）制定诊改目标、标准与措施。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 xml:space="preserve"> （一）系部层面。教研室依据上级部门下达的工作任务和系部各项工作目标制定系部年度工作要点。各专业、各部门按照系部年度工作要点结合岗位职责要求制定本专业、本部门的年度工作目标、标准与措施并作为专业、部门工作的诊改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 xml:space="preserve"> （二）专业层面。教务科负责系部专业建设管理制定专业建设标准与运行标准并将专业建设任务分解落实到教学系的各个专业：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教学系依据各专业建设目标与建设标准制定学年专业建设与人才培养的目标任务并作为专业建设的诊改依据。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 xml:space="preserve"> （三）课程层面。教务科负责课程建设与课堂教学管理制定系部课程标准和课堂教学标准并将课程建设的任务分解落实到的各门课程。各教学系部结合实际制定本系部学期课程建设与教学的目标与标准并作为课程建设的诊改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四）教师层面。教师发展中心负责制定系部教师队伍建设的目标与标准将目标任务按年度分解落实到各专业各专业结合实际制定本专业年度教学团队、教师个人职业生涯发展规划目标与标准并作为教师队伍建设的诊改依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五）学生层面。学生科负责学生管理,制定系部学生工作目标与标准,将目标任务按年度分解落实到各学科,学科组系结合实际,制定本学科组年度学生个人学业生涯发展规划目标与标准,并作为学生全面发展的诊改依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黑体_GBK" w:hAnsi="方正黑体_GBK" w:eastAsia="方正黑体_GBK" w:cs="方正黑体_GBK"/>
          <w:b w:val="0"/>
          <w:bCs w:val="0"/>
          <w:kern w:val="0"/>
          <w:sz w:val="32"/>
          <w:szCs w:val="32"/>
          <w:lang w:val="zh-CN" w:eastAsia="zh-CN" w:bidi="ar"/>
        </w:rPr>
      </w:pPr>
      <w:r>
        <w:rPr>
          <w:rFonts w:hint="eastAsia" w:ascii="方正黑体_GBK" w:hAnsi="方正黑体_GBK" w:eastAsia="方正黑体_GBK" w:cs="方正黑体_GBK"/>
          <w:b w:val="0"/>
          <w:bCs w:val="0"/>
          <w:kern w:val="0"/>
          <w:sz w:val="32"/>
          <w:szCs w:val="32"/>
          <w:lang w:val="zh-CN" w:eastAsia="zh-CN" w:bidi="ar"/>
        </w:rPr>
        <w:t>第五章</w:t>
      </w:r>
      <w:r>
        <w:rPr>
          <w:rFonts w:hint="eastAsia" w:ascii="方正黑体_GBK" w:hAnsi="方正黑体_GBK" w:eastAsia="方正黑体_GBK" w:cs="方正黑体_GBK"/>
          <w:b w:val="0"/>
          <w:bCs w:val="0"/>
          <w:kern w:val="0"/>
          <w:sz w:val="32"/>
          <w:szCs w:val="32"/>
          <w:lang w:val="en-US" w:eastAsia="zh-CN" w:bidi="ar"/>
        </w:rPr>
        <w:t xml:space="preserve"> </w:t>
      </w:r>
      <w:r>
        <w:rPr>
          <w:rFonts w:hint="eastAsia" w:ascii="方正黑体_GBK" w:hAnsi="方正黑体_GBK" w:eastAsia="方正黑体_GBK" w:cs="方正黑体_GBK"/>
          <w:b w:val="0"/>
          <w:bCs w:val="0"/>
          <w:kern w:val="0"/>
          <w:sz w:val="32"/>
          <w:szCs w:val="32"/>
          <w:lang w:val="zh-CN" w:eastAsia="zh-CN" w:bidi="ar"/>
        </w:rPr>
        <w:t>诊改程序与要求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第十五条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各层面诊改工作均按照“8字型质量改进螺旋”的完整工作流程运行。各系部在教学工作诊断与改进信息化管理平台的支撑下,随时对照目标任务和建设标准开展各层面常态化的自我诊改,对建设与运行中出现的问题及时改进。</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系部层面的诊改。以年度为诊改周期,由党政办牵头组织各系部对照年度工作目标任务,依托系部诊改平台,对未完成的任务进行分析,查找问题、分析原因,提出改进思路和具体措施,撰写“系部内部质量保证体系自我诊改报告”（必要时,按要求上报区教委）和“系部xx年度xx单位（部门）工作自我诊改报告”（分别见附件1、附件2）。</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二）专业层面的诊改。以学年为周期由教务科牵头组织各教学系对照各专业建设目标任务依托系部诊改平台、教学云平台、顶岗实习管理系统等结合日常教学管理诊断各项建设任务完成情况对未达标项加以深度分析提出改进思路和具体措施撰写“系部X学年X专业（群）建设自我诊改报告”（见附件3）。</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三）课程层面的诊改。以学期为周期由教务科牵头组织各教学系部对照各门课程建设与教学的目标任务依托系部诊改平台和各类课程建设平台结合日常教学管理诊断各项建设任务完成情况对未达标项加以深度分析提出改进思路和具体措施撰写“系部x学期x课程建设自我诊改报告”（见附件4）。</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四）教师层面的诊改。以年度为周期由教师发展中心牵头组织各教学系部对照师资队伍建设任务依托系部诊改平台和各类教师管理平台诊断各项建设任务完成情况对未达标项加以深度分析提出改进思路和具体措施撰写“系部X年度X系（部）教师队伍建设自我诊改报告”（见附件5）</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color w:val="333949"/>
          <w:sz w:val="28"/>
          <w:szCs w:val="28"/>
          <w:lang w:val="zh-CN"/>
        </w:rPr>
      </w:pPr>
      <w:r>
        <w:rPr>
          <w:rFonts w:hint="eastAsia" w:ascii="方正仿宋_GBK" w:hAnsi="方正仿宋_GBK" w:eastAsia="方正仿宋_GBK" w:cs="方正仿宋_GBK"/>
          <w:b w:val="0"/>
          <w:bCs w:val="0"/>
          <w:kern w:val="0"/>
          <w:sz w:val="32"/>
          <w:szCs w:val="32"/>
          <w:lang w:val="zh-CN" w:eastAsia="zh-CN" w:bidi="ar"/>
        </w:rPr>
        <w:t>（五）学生层面的诊改。以年度为周期由学生科牵头组织各教学系对照学生工作建设任务依托系部诊改平台和各类学生管理平台诊断各项建设任务完成情况对未达标项加以深度分析提出改进思路和具体措施撰写“系部从年度X系学生全面发展自我诊改报告”（见附件6）</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黑体_GBK" w:hAnsi="方正黑体_GBK" w:eastAsia="方正黑体_GBK" w:cs="方正黑体_GBK"/>
          <w:b w:val="0"/>
          <w:bCs w:val="0"/>
          <w:kern w:val="0"/>
          <w:sz w:val="32"/>
          <w:szCs w:val="32"/>
          <w:lang w:val="zh-CN" w:eastAsia="zh-CN" w:bidi="ar"/>
        </w:rPr>
      </w:pPr>
      <w:r>
        <w:rPr>
          <w:rFonts w:hint="eastAsia" w:ascii="方正黑体_GBK" w:hAnsi="方正黑体_GBK" w:eastAsia="方正黑体_GBK" w:cs="方正黑体_GBK"/>
          <w:b w:val="0"/>
          <w:bCs w:val="0"/>
          <w:kern w:val="0"/>
          <w:sz w:val="32"/>
          <w:szCs w:val="32"/>
          <w:lang w:val="zh-CN" w:eastAsia="zh-CN" w:bidi="ar"/>
        </w:rPr>
        <w:t>第六章</w:t>
      </w:r>
      <w:r>
        <w:rPr>
          <w:rFonts w:hint="eastAsia" w:ascii="方正黑体_GBK" w:hAnsi="方正黑体_GBK" w:eastAsia="方正黑体_GBK" w:cs="方正黑体_GBK"/>
          <w:b w:val="0"/>
          <w:bCs w:val="0"/>
          <w:kern w:val="0"/>
          <w:sz w:val="32"/>
          <w:szCs w:val="32"/>
          <w:lang w:val="en-US" w:eastAsia="zh-CN" w:bidi="ar"/>
        </w:rPr>
        <w:t xml:space="preserve"> </w:t>
      </w:r>
      <w:r>
        <w:rPr>
          <w:rFonts w:hint="eastAsia" w:ascii="方正黑体_GBK" w:hAnsi="方正黑体_GBK" w:eastAsia="方正黑体_GBK" w:cs="方正黑体_GBK"/>
          <w:b w:val="0"/>
          <w:bCs w:val="0"/>
          <w:kern w:val="0"/>
          <w:sz w:val="32"/>
          <w:szCs w:val="32"/>
          <w:lang w:val="zh-CN" w:eastAsia="zh-CN" w:bidi="ar"/>
        </w:rPr>
        <w:t>诊改平台管理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第十六条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信息中心负责教学工作诊断与改进信息化管理平台的搭建和日常管理维护工作按照五横（系部、专业、课程、教师、学生）、五纵（决策指挥、质量生成、资源建设、支持服务、监督控制）及“8字型质量改进螺旋”运行机制持续完善现有平台的各模块数据指标的初始化及升级工作实时生成系部各诊改层面的数据画像及时增加应用功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第十七条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系部及信息中心负责诊改平台的技术支持和保障工作及时解决各种技术问题。</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第十八条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系部各单位、各部门运用现有诊改平台数据指标进行各层面的自我诊改工作并配合有关部门持续完善更新有关数据指标。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第十九条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系部各单位、各部门使用和发布诊改数据原则上以系部诊改平台数据指标为准。对诊改平台数据只能引用不得自更改泄露和传播否则将承担相应责任。</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黑体_GBK" w:hAnsi="方正黑体_GBK" w:eastAsia="方正黑体_GBK" w:cs="方正黑体_GBK"/>
          <w:b w:val="0"/>
          <w:bCs w:val="0"/>
          <w:kern w:val="0"/>
          <w:sz w:val="32"/>
          <w:szCs w:val="32"/>
          <w:lang w:val="zh-CN" w:eastAsia="zh-CN" w:bidi="ar"/>
        </w:rPr>
      </w:pPr>
      <w:r>
        <w:rPr>
          <w:rFonts w:hint="eastAsia" w:ascii="方正黑体_GBK" w:hAnsi="方正黑体_GBK" w:eastAsia="方正黑体_GBK" w:cs="方正黑体_GBK"/>
          <w:b w:val="0"/>
          <w:bCs w:val="0"/>
          <w:kern w:val="0"/>
          <w:sz w:val="32"/>
          <w:szCs w:val="32"/>
          <w:lang w:val="zh-CN" w:eastAsia="zh-CN" w:bidi="ar"/>
        </w:rPr>
        <w:t>第七章</w:t>
      </w:r>
      <w:r>
        <w:rPr>
          <w:rFonts w:hint="eastAsia" w:ascii="方正黑体_GBK" w:hAnsi="方正黑体_GBK" w:eastAsia="方正黑体_GBK" w:cs="方正黑体_GBK"/>
          <w:b w:val="0"/>
          <w:bCs w:val="0"/>
          <w:kern w:val="0"/>
          <w:sz w:val="32"/>
          <w:szCs w:val="32"/>
          <w:lang w:val="en-US" w:eastAsia="zh-CN" w:bidi="ar"/>
        </w:rPr>
        <w:t xml:space="preserve"> </w:t>
      </w:r>
      <w:r>
        <w:rPr>
          <w:rFonts w:hint="eastAsia" w:ascii="方正黑体_GBK" w:hAnsi="方正黑体_GBK" w:eastAsia="方正黑体_GBK" w:cs="方正黑体_GBK"/>
          <w:b w:val="0"/>
          <w:bCs w:val="0"/>
          <w:kern w:val="0"/>
          <w:sz w:val="32"/>
          <w:szCs w:val="32"/>
          <w:lang w:val="zh-CN" w:eastAsia="zh-CN" w:bidi="ar"/>
        </w:rPr>
        <w:t>考核评价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第二十条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各层面诊改牵头部门负责对各系部年度诊改工作完成情况进行量化考核。考核内容主要包括：制度体系建设及执行情况：目标体系建设及完成情况：标准体系建设及完善情况：各层面诊改报告的撰写及问题改进措施。考核结果作为各系部年终工作考核的参考依据促进全员全过程全方位育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黑体_GBK" w:hAnsi="方正黑体_GBK" w:eastAsia="方正黑体_GBK" w:cs="方正黑体_GBK"/>
          <w:b w:val="0"/>
          <w:bCs w:val="0"/>
          <w:kern w:val="0"/>
          <w:sz w:val="32"/>
          <w:szCs w:val="32"/>
          <w:lang w:val="en-US" w:eastAsia="zh-CN" w:bidi="ar"/>
        </w:rPr>
        <w:t xml:space="preserve">第八章 </w:t>
      </w:r>
      <w:r>
        <w:rPr>
          <w:rFonts w:hint="eastAsia" w:ascii="方正黑体_GBK" w:hAnsi="方正黑体_GBK" w:eastAsia="方正黑体_GBK" w:cs="方正黑体_GBK"/>
          <w:b w:val="0"/>
          <w:bCs w:val="0"/>
          <w:kern w:val="0"/>
          <w:sz w:val="32"/>
          <w:szCs w:val="32"/>
          <w:lang w:val="zh-CN" w:eastAsia="zh-CN" w:bidi="ar"/>
        </w:rPr>
        <w:t>附则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zh-CN" w:eastAsia="zh-CN" w:bidi="ar"/>
        </w:rPr>
      </w:pPr>
      <w:r>
        <w:rPr>
          <w:rFonts w:hint="eastAsia" w:ascii="方正仿宋_GBK" w:hAnsi="方正仿宋_GBK" w:eastAsia="方正仿宋_GBK" w:cs="方正仿宋_GBK"/>
          <w:b w:val="0"/>
          <w:bCs w:val="0"/>
          <w:kern w:val="0"/>
          <w:sz w:val="32"/>
          <w:szCs w:val="32"/>
          <w:lang w:val="zh-CN" w:eastAsia="zh-CN" w:bidi="ar"/>
        </w:rPr>
        <w:t>第二十一条</w:t>
      </w:r>
      <w:r>
        <w:rPr>
          <w:rFonts w:hint="eastAsia" w:ascii="方正仿宋_GBK" w:hAnsi="方正仿宋_GBK" w:eastAsia="方正仿宋_GBK" w:cs="方正仿宋_GBK"/>
          <w:b w:val="0"/>
          <w:bCs w:val="0"/>
          <w:kern w:val="0"/>
          <w:sz w:val="32"/>
          <w:szCs w:val="32"/>
          <w:lang w:val="en-US" w:eastAsia="zh-CN" w:bidi="ar"/>
        </w:rPr>
        <w:t xml:space="preserve"> </w:t>
      </w:r>
      <w:r>
        <w:rPr>
          <w:rFonts w:hint="eastAsia" w:ascii="方正仿宋_GBK" w:hAnsi="方正仿宋_GBK" w:eastAsia="方正仿宋_GBK" w:cs="方正仿宋_GBK"/>
          <w:b w:val="0"/>
          <w:bCs w:val="0"/>
          <w:kern w:val="0"/>
          <w:sz w:val="32"/>
          <w:szCs w:val="32"/>
          <w:lang w:val="zh-CN" w:eastAsia="zh-CN" w:bidi="ar"/>
        </w:rPr>
        <w:t>本办法自2022年3月1日起实施。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小标宋_GBK" w:hAnsi="方正小标宋_GBK" w:eastAsia="方正小标宋_GBK" w:cs="方正小标宋_GBK"/>
          <w:color w:val="333949"/>
          <w:sz w:val="32"/>
          <w:szCs w:val="32"/>
          <w:lang w:val="zh-CN"/>
        </w:rPr>
      </w:pPr>
      <w:r>
        <w:rPr>
          <w:rFonts w:hint="eastAsia" w:ascii="方正仿宋_GBK" w:hAnsi="方正仿宋_GBK" w:eastAsia="方正仿宋_GBK" w:cs="方正仿宋_GBK"/>
          <w:b w:val="0"/>
          <w:bCs w:val="0"/>
          <w:kern w:val="0"/>
          <w:sz w:val="32"/>
          <w:szCs w:val="32"/>
          <w:lang w:val="zh-CN" w:eastAsia="zh-CN" w:bidi="ar"/>
        </w:rPr>
        <w:t>第二十二条本办法由党政办负责解释。</w:t>
      </w:r>
      <w:r>
        <w:rPr>
          <w:rFonts w:hint="eastAsia" w:ascii="方正小标宋_GBK" w:hAnsi="方正小标宋_GBK" w:eastAsia="方正小标宋_GBK" w:cs="方正小标宋_GBK"/>
          <w:color w:val="333949"/>
          <w:sz w:val="32"/>
          <w:szCs w:val="32"/>
          <w:lang w:val="zh-CN"/>
        </w:rPr>
        <w:br w:type="page"/>
      </w:r>
    </w:p>
    <w:p>
      <w:pPr>
        <w:keepNext w:val="0"/>
        <w:keepLines w:val="0"/>
        <w:pageBreakBefore w:val="0"/>
        <w:widowControl/>
        <w:numPr>
          <w:ilvl w:val="0"/>
          <w:numId w:val="1"/>
        </w:numPr>
        <w:kinsoku/>
        <w:wordWrap/>
        <w:overflowPunct/>
        <w:topLinePunct w:val="0"/>
        <w:autoSpaceDE/>
        <w:autoSpaceDN/>
        <w:bidi w:val="0"/>
        <w:adjustRightInd/>
        <w:snapToGrid/>
        <w:spacing w:line="500" w:lineRule="exact"/>
        <w:jc w:val="left"/>
        <w:textAlignment w:val="auto"/>
        <w:outlineLvl w:val="0"/>
        <w:rPr>
          <w:rFonts w:hint="eastAsia" w:ascii="方正黑体_GBK" w:hAnsi="方正黑体_GBK" w:eastAsia="方正黑体_GBK" w:cs="方正黑体_GBK"/>
          <w:b w:val="0"/>
          <w:bCs w:val="0"/>
          <w:kern w:val="0"/>
          <w:sz w:val="32"/>
          <w:szCs w:val="32"/>
          <w:lang w:val="zh-CN" w:eastAsia="zh-CN" w:bidi="ar"/>
        </w:rPr>
      </w:pPr>
      <w:bookmarkStart w:id="2" w:name="_Toc14310"/>
      <w:r>
        <w:rPr>
          <w:rFonts w:hint="eastAsia" w:ascii="方正黑体_GBK" w:hAnsi="方正黑体_GBK" w:eastAsia="方正黑体_GBK" w:cs="方正黑体_GBK"/>
          <w:b w:val="0"/>
          <w:bCs w:val="0"/>
          <w:kern w:val="0"/>
          <w:sz w:val="32"/>
          <w:szCs w:val="32"/>
          <w:lang w:val="en-US" w:eastAsia="zh-CN" w:bidi="ar"/>
        </w:rPr>
        <w:t>电子技术应用专业</w:t>
      </w:r>
      <w:r>
        <w:rPr>
          <w:rFonts w:hint="eastAsia" w:ascii="方正黑体_GBK" w:hAnsi="方正黑体_GBK" w:eastAsia="方正黑体_GBK" w:cs="方正黑体_GBK"/>
          <w:b w:val="0"/>
          <w:bCs w:val="0"/>
          <w:kern w:val="0"/>
          <w:sz w:val="32"/>
          <w:szCs w:val="32"/>
          <w:lang w:val="zh-CN" w:eastAsia="zh-CN" w:bidi="ar"/>
        </w:rPr>
        <w:t>现代学徒制教学质量多元评价主体方案</w:t>
      </w:r>
      <w:bookmarkEnd w:id="2"/>
    </w:p>
    <w:p>
      <w:pPr>
        <w:outlineLvl w:val="9"/>
        <w:rPr>
          <w:rFonts w:hint="eastAsia"/>
          <w:lang w:val="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重庆市南川隆化职业中学校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现代学徒制教学质量多元评价主体方案</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en-US" w:eastAsia="zh-CN" w:bidi="ar"/>
        </w:rPr>
      </w:pPr>
      <w:r>
        <w:rPr>
          <w:rFonts w:hint="eastAsia" w:ascii="方正仿宋_GBK" w:hAnsi="方正仿宋_GBK" w:eastAsia="方正仿宋_GBK" w:cs="方正仿宋_GBK"/>
          <w:b w:val="0"/>
          <w:bCs w:val="0"/>
          <w:kern w:val="0"/>
          <w:sz w:val="32"/>
          <w:szCs w:val="32"/>
          <w:lang w:val="en-US" w:eastAsia="zh-CN" w:bidi="ar"/>
        </w:rPr>
        <w:t>“评价主体”是指对教学质量评价活动的结果起决定性的人群他们在相关领域中具有一定的专业知识并能对教学质量进行有效的评价评价体系对评价主体的选择是衡量评价结果有效性的重要指标之一能否客观、公正的对评价对象实施评价直接影响教学质量评价的客观性、科学性和有效性。在已有的理论教学和理实一体化教育教学中教学质量的评价已较为成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kern w:val="0"/>
          <w:sz w:val="32"/>
          <w:szCs w:val="32"/>
          <w:lang w:val="en-US" w:eastAsia="zh-CN" w:bidi="ar"/>
        </w:rPr>
      </w:pPr>
      <w:r>
        <w:rPr>
          <w:rFonts w:hint="eastAsia" w:ascii="方正仿宋_GBK" w:hAnsi="方正仿宋_GBK" w:eastAsia="方正仿宋_GBK" w:cs="方正仿宋_GBK"/>
          <w:b w:val="0"/>
          <w:bCs w:val="0"/>
          <w:kern w:val="0"/>
          <w:sz w:val="32"/>
          <w:szCs w:val="32"/>
          <w:lang w:val="en-US" w:eastAsia="zh-CN" w:bidi="ar"/>
        </w:rPr>
        <w:t>现代学徒制教学质量评价主体可以分为以下几类：教学系部、督导专家、学生和用人单位等如下表1-1所示选取学生30人、专家督导5人、教学系部成员5人、同行10人、用人单位5人对现代学徒制教学质量的评价主体及占比进行统计分析如下。因此现代学徒制的教学质量评价体系的研究需基于以往的课堂教学质量研究和理实一体化教学质量研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表1-1 评价主体一览表</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评价主体</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学生评价</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专家督导评价</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教学系部评价</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同行（学校、企业）评价</w:t>
            </w:r>
          </w:p>
        </w:tc>
        <w:tc>
          <w:tcPr>
            <w:tcW w:w="42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用人单位评价</w:t>
            </w:r>
          </w:p>
        </w:tc>
        <w:tc>
          <w:tcPr>
            <w:tcW w:w="4261" w:type="dxa"/>
            <w:vAlign w:val="center"/>
          </w:tcPr>
          <w:p>
            <w:pPr>
              <w:keepNext w:val="0"/>
              <w:keepLines w:val="0"/>
              <w:pageBreakBefore w:val="0"/>
              <w:widowControl w:val="0"/>
              <w:tabs>
                <w:tab w:val="left" w:pos="1047"/>
              </w:tabs>
              <w:kinsoku/>
              <w:wordWrap/>
              <w:overflowPunct/>
              <w:topLinePunct w:val="0"/>
              <w:autoSpaceDE/>
              <w:autoSpaceDN/>
              <w:bidi w:val="0"/>
              <w:adjustRightInd/>
              <w:snapToGrid/>
              <w:spacing w:line="240" w:lineRule="auto"/>
              <w:ind w:firstLine="480" w:firstLineChars="200"/>
              <w:jc w:val="center"/>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黑体_GBK" w:hAnsi="方正黑体_GBK" w:eastAsia="方正黑体_GBK" w:cs="方正黑体_GBK"/>
          <w:b w:val="0"/>
          <w:bCs w:val="0"/>
          <w:kern w:val="0"/>
          <w:sz w:val="32"/>
          <w:szCs w:val="32"/>
          <w:lang w:val="en-US" w:eastAsia="zh-CN" w:bidi="ar"/>
        </w:rPr>
      </w:pPr>
      <w:r>
        <w:rPr>
          <w:rFonts w:hint="eastAsia" w:ascii="方正黑体_GBK" w:hAnsi="方正黑体_GBK" w:eastAsia="方正黑体_GBK" w:cs="方正黑体_GBK"/>
          <w:b w:val="0"/>
          <w:bCs w:val="0"/>
          <w:kern w:val="0"/>
          <w:sz w:val="32"/>
          <w:szCs w:val="32"/>
          <w:lang w:val="en-US" w:eastAsia="zh-CN" w:bidi="ar"/>
        </w:rPr>
        <w:t>一、教学系部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kern w:val="0"/>
          <w:sz w:val="32"/>
          <w:szCs w:val="32"/>
          <w:lang w:val="en-US" w:eastAsia="zh-CN" w:bidi="ar"/>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b w:val="0"/>
          <w:bCs w:val="0"/>
          <w:kern w:val="0"/>
          <w:sz w:val="32"/>
          <w:szCs w:val="32"/>
          <w:lang w:val="en-US" w:eastAsia="zh-CN" w:bidi="ar"/>
        </w:rPr>
        <w:t xml:space="preserve"> 现代学徒制的“教学系部”是校企一体化的组织“教学系部”也是现代学徒制实施过程中的主要执行部门与监督部门之一是学校领导有效评价和同事评价的主要来源主要由完成教学对接的教务科、完成教师与企业专业培养的教研室、完成课程与学生对接的现代制造产业第、企业一起成立的教学小组。完成对现代学徒制实施方案的制定对学校的“双师型”教师、企业的高技能人才进行选拔选取思想道德素质高、具有丰富的教学经验和管理经验的教师和企业师傅供学生的“双导师”进行选择其次必要性的对“教学系部”人员进行评价培训使其对评价的原则熟悉。而“双师型”教师在评价中能从专业的角度和职业素质“双角度”对教师的教学质量、企业师傅的教学质量、学生的学习质量等进行客观、有效的评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方正黑体_GBK" w:hAnsi="方正黑体_GBK" w:eastAsia="方正黑体_GBK" w:cs="方正黑体_GBK"/>
          <w:b w:val="0"/>
          <w:bCs w:val="0"/>
          <w:kern w:val="0"/>
          <w:sz w:val="32"/>
          <w:szCs w:val="32"/>
          <w:lang w:val="en-US" w:eastAsia="zh-CN" w:bidi="ar"/>
        </w:rPr>
      </w:pPr>
      <w:r>
        <w:rPr>
          <w:rFonts w:hint="eastAsia" w:ascii="方正黑体_GBK" w:hAnsi="方正黑体_GBK" w:eastAsia="方正黑体_GBK" w:cs="方正黑体_GBK"/>
          <w:b w:val="0"/>
          <w:bCs w:val="0"/>
          <w:kern w:val="0"/>
          <w:sz w:val="32"/>
          <w:szCs w:val="32"/>
          <w:lang w:val="en-US" w:eastAsia="zh-CN" w:bidi="ar"/>
        </w:rPr>
        <w:t>二、督导专家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kern w:val="0"/>
          <w:sz w:val="32"/>
          <w:szCs w:val="32"/>
          <w:lang w:val="en-US" w:eastAsia="zh-CN" w:bidi="ar"/>
        </w:rPr>
      </w:pPr>
      <w:r>
        <w:rPr>
          <w:rFonts w:hint="eastAsia" w:ascii="方正仿宋_GBK" w:hAnsi="方正仿宋_GBK" w:eastAsia="方正仿宋_GBK" w:cs="方正仿宋_GBK"/>
          <w:b w:val="0"/>
          <w:bCs w:val="0"/>
          <w:kern w:val="0"/>
          <w:sz w:val="32"/>
          <w:szCs w:val="32"/>
          <w:lang w:val="en-US" w:eastAsia="zh-CN" w:bidi="ar"/>
        </w:rPr>
        <w:t>督导专家主要对现代学徒制在实现校企“双主体”育人的过程中对实施的细节进行检查与建议因此学校与企业联合建立的督导专家小组在校内由实训处管理主任和教研主任牵头电子技术应用专业学科带头人和骨干教师组成的监督、评价团队他们在学科的发展、专业学术的研究比较透彻能比较准确的对专业人才培养进行定位与评价其次他们掌握对评价主体的教学手段、教学内容以及课堂教学效果、学生的课堂学习状态等进行专业的评判在企业的教学中主要由企业成立协会主任牵头、企业经理主持、企业技工师傅为成员组成他们在电子技术应用行业具有多年的维修经验具有熟练的专业技能对企业师傅的教学质量和学生在专业技能的掌握上能给出专业的评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方正黑体_GBK" w:hAnsi="方正黑体_GBK" w:eastAsia="方正黑体_GBK" w:cs="方正黑体_GBK"/>
          <w:b w:val="0"/>
          <w:bCs w:val="0"/>
          <w:kern w:val="0"/>
          <w:sz w:val="32"/>
          <w:szCs w:val="32"/>
          <w:lang w:val="en-US" w:eastAsia="zh-CN" w:bidi="ar"/>
        </w:rPr>
      </w:pPr>
      <w:r>
        <w:rPr>
          <w:rFonts w:hint="eastAsia" w:ascii="方正黑体_GBK" w:hAnsi="方正黑体_GBK" w:eastAsia="方正黑体_GBK" w:cs="方正黑体_GBK"/>
          <w:b w:val="0"/>
          <w:bCs w:val="0"/>
          <w:kern w:val="0"/>
          <w:sz w:val="32"/>
          <w:szCs w:val="32"/>
          <w:lang w:val="en-US" w:eastAsia="zh-CN" w:bidi="ar"/>
        </w:rPr>
        <w:t>三、学生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kern w:val="0"/>
          <w:sz w:val="32"/>
          <w:szCs w:val="32"/>
          <w:lang w:val="en-US" w:eastAsia="zh-CN" w:bidi="ar"/>
        </w:rPr>
      </w:pPr>
      <w:r>
        <w:rPr>
          <w:rFonts w:hint="eastAsia" w:ascii="方正仿宋_GBK" w:hAnsi="方正仿宋_GBK" w:eastAsia="方正仿宋_GBK" w:cs="方正仿宋_GBK"/>
          <w:b w:val="0"/>
          <w:bCs w:val="0"/>
          <w:kern w:val="0"/>
          <w:sz w:val="32"/>
          <w:szCs w:val="32"/>
          <w:lang w:val="en-US" w:eastAsia="zh-CN" w:bidi="ar"/>
        </w:rPr>
        <w:t>现代学徒制教育教学中需要实现“学生、学徒、准员工、员工”的转变学生是现代学徒制的教育承受主体在新课程的教育理念下教学方式产生了较大的变化脱胎于传统的教学方式新课程教学以实现“以学生为中心教师为主导”的教育理念这将作为直接反应教师的教学方式、教学的生动性、教师的备课熟练程度等进行直接的评价也是最具有发言的群体之一从而对教师的评价给出可行的参考之一。但是由于学生对专业的认识局限性以及对教师教学的准则、标准缺乏全面的认识他们对教师的评价往往只来源于自己的直观感受。因此在采取这种方式进行评价过程中需要足够大的采样样本。经过调查研究发现：当参评学生达到样本的七成以上那学生评价的信度在0.9以上。因此现代学徒制的教学质量评价体系必须要学生全员参与积极的进行反馈督导进行及时监督改善教师的教学质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outlineLvl w:val="9"/>
        <w:rPr>
          <w:rFonts w:hint="eastAsia" w:ascii="方正仿宋_GBK" w:hAnsi="方正仿宋_GBK" w:eastAsia="方正仿宋_GBK" w:cs="方正仿宋_GBK"/>
          <w:b/>
          <w:bCs/>
          <w:kern w:val="0"/>
          <w:sz w:val="32"/>
          <w:szCs w:val="32"/>
          <w:lang w:val="en-US" w:eastAsia="zh-CN" w:bidi="ar"/>
        </w:rPr>
      </w:pPr>
      <w:r>
        <w:rPr>
          <w:rFonts w:hint="eastAsia" w:ascii="方正黑体_GBK" w:hAnsi="方正黑体_GBK" w:eastAsia="方正黑体_GBK" w:cs="方正黑体_GBK"/>
          <w:b w:val="0"/>
          <w:bCs w:val="0"/>
          <w:kern w:val="0"/>
          <w:sz w:val="32"/>
          <w:szCs w:val="32"/>
          <w:lang w:val="en-US" w:eastAsia="zh-CN" w:bidi="ar"/>
        </w:rPr>
        <w:t>四、用人单位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kern w:val="0"/>
          <w:sz w:val="32"/>
          <w:szCs w:val="32"/>
          <w:lang w:val="en-US" w:eastAsia="zh-CN" w:bidi="ar"/>
        </w:rPr>
      </w:pPr>
      <w:r>
        <w:rPr>
          <w:rFonts w:hint="eastAsia" w:ascii="方正仿宋_GBK" w:hAnsi="方正仿宋_GBK" w:eastAsia="方正仿宋_GBK" w:cs="方正仿宋_GBK"/>
          <w:b w:val="0"/>
          <w:bCs w:val="0"/>
          <w:kern w:val="0"/>
          <w:sz w:val="32"/>
          <w:szCs w:val="32"/>
          <w:lang w:val="en-US" w:eastAsia="zh-CN" w:bidi="ar"/>
        </w:rPr>
        <w:t>企业是面向市场开放作为以盈利为目的的集体追求的是利益最大化作为现代学徒制是校企“双主体”育人的载体与学校以培养学生为主的宗旨存在冲突的环节如开销与收入的环节、人才流失、培养质量是否合格等问题。因此现代学徒制的实施为了使企业积极的参与首先需要与企业确定人才的需求量能否达到企业的用人标准这是校企合作的基础才能实现企业与学校的“双主体”育人否则将会出现学校热、企业冷的现象学生的企业学习也将会变成简单的顶岗实习脱离了现代学徒制的初衷这样的校企合作也将不能称为现代学徒制因此教学质量的评价主体用人单位也是不可缺少的部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kern w:val="0"/>
          <w:sz w:val="32"/>
          <w:szCs w:val="32"/>
          <w:lang w:val="en-US" w:eastAsia="zh-CN" w:bidi="ar"/>
        </w:rPr>
      </w:pPr>
      <w:r>
        <w:rPr>
          <w:rFonts w:hint="eastAsia" w:ascii="方正仿宋_GBK" w:hAnsi="方正仿宋_GBK" w:eastAsia="方正仿宋_GBK" w:cs="方正仿宋_GBK"/>
          <w:b w:val="0"/>
          <w:bCs w:val="0"/>
          <w:kern w:val="0"/>
          <w:sz w:val="32"/>
          <w:szCs w:val="32"/>
          <w:lang w:val="en-US" w:eastAsia="zh-CN" w:bidi="ar"/>
        </w:rPr>
        <w:br w:type="page"/>
      </w:r>
    </w:p>
    <w:p>
      <w:pPr>
        <w:keepNext w:val="0"/>
        <w:keepLines w:val="0"/>
        <w:pageBreakBefore w:val="0"/>
        <w:widowControl/>
        <w:numPr>
          <w:ilvl w:val="0"/>
          <w:numId w:val="1"/>
        </w:numPr>
        <w:kinsoku/>
        <w:wordWrap/>
        <w:overflowPunct/>
        <w:topLinePunct w:val="0"/>
        <w:autoSpaceDE/>
        <w:autoSpaceDN/>
        <w:bidi w:val="0"/>
        <w:adjustRightInd/>
        <w:snapToGrid/>
        <w:spacing w:line="500" w:lineRule="exact"/>
        <w:jc w:val="left"/>
        <w:textAlignment w:val="auto"/>
        <w:outlineLvl w:val="0"/>
        <w:rPr>
          <w:rFonts w:hint="default" w:ascii="方正黑体_GBK" w:hAnsi="方正黑体_GBK" w:eastAsia="方正黑体_GBK" w:cs="方正黑体_GBK"/>
          <w:b w:val="0"/>
          <w:bCs w:val="0"/>
          <w:kern w:val="0"/>
          <w:sz w:val="32"/>
          <w:szCs w:val="32"/>
          <w:lang w:val="en-US" w:eastAsia="zh-CN" w:bidi="ar"/>
        </w:rPr>
      </w:pPr>
      <w:bookmarkStart w:id="3" w:name="_Toc1184"/>
      <w:r>
        <w:rPr>
          <w:rFonts w:hint="eastAsia" w:ascii="方正黑体_GBK" w:hAnsi="方正黑体_GBK" w:eastAsia="方正黑体_GBK" w:cs="方正黑体_GBK"/>
          <w:b w:val="0"/>
          <w:bCs w:val="0"/>
          <w:kern w:val="0"/>
          <w:sz w:val="32"/>
          <w:szCs w:val="32"/>
          <w:lang w:val="en-US" w:eastAsia="zh-CN" w:bidi="ar"/>
        </w:rPr>
        <w:t>电子技术应用专业现代学徒制教学质量评价方案</w:t>
      </w:r>
      <w:bookmarkEnd w:id="3"/>
    </w:p>
    <w:p>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outlineLvl w:val="9"/>
        <w:rPr>
          <w:rFonts w:hint="default" w:ascii="方正黑体_GBK" w:hAnsi="方正黑体_GBK" w:eastAsia="方正黑体_GBK" w:cs="方正黑体_GBK"/>
          <w:b w:val="0"/>
          <w:bCs w:val="0"/>
          <w:kern w:val="0"/>
          <w:sz w:val="32"/>
          <w:szCs w:val="32"/>
          <w:lang w:val="en-US" w:eastAsia="zh-CN" w:bidi="ar"/>
        </w:rPr>
      </w:pPr>
    </w:p>
    <w:p>
      <w:pPr>
        <w:pStyle w:val="5"/>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电子技术应用专业现代学徒制教学质量</w:t>
      </w:r>
    </w:p>
    <w:p>
      <w:pPr>
        <w:pStyle w:val="5"/>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黑体" w:hAnsi="黑体" w:eastAsia="黑体" w:cs="黑体"/>
          <w:b/>
          <w:bCs/>
          <w:sz w:val="44"/>
          <w:szCs w:val="44"/>
          <w:lang w:eastAsia="zh-CN"/>
        </w:rPr>
      </w:pPr>
      <w:r>
        <w:rPr>
          <w:rFonts w:hint="eastAsia" w:ascii="方正小标宋_GBK" w:hAnsi="方正小标宋_GBK" w:eastAsia="方正小标宋_GBK" w:cs="方正小标宋_GBK"/>
          <w:b/>
          <w:bCs/>
          <w:sz w:val="44"/>
          <w:szCs w:val="44"/>
          <w:lang w:eastAsia="zh-CN"/>
        </w:rPr>
        <w:t>评价方案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在构建现代学徒制教学质量评价的过程中理论是教学质量体系构建的基石以现代教育、教学理论以及现代化教育教学评价理论为指导以现代校企合作、理实一体化为基石结合所在学校的特点依据现代学徒制特殊性校企联合制定的人才培养标准构建现代学徒制教学质量多元评价主体和评价方法通过实际的操作进行反馈调节在反馈中不足之处进行修改最后形成科学合理的、具有操作性、可推广的现代学徒制教学质量评价方案。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28"/>
          <w:szCs w:val="28"/>
          <w:lang w:val="en-US" w:eastAsia="zh-CN"/>
        </w:rPr>
        <w:t xml:space="preserve">   </w:t>
      </w:r>
      <w:r>
        <w:rPr>
          <w:rFonts w:hint="eastAsia" w:ascii="方正仿宋_GBK" w:hAnsi="方正仿宋_GBK" w:eastAsia="方正仿宋_GBK" w:cs="方正仿宋_GBK"/>
          <w:b w:val="0"/>
          <w:bCs w:val="0"/>
          <w:sz w:val="32"/>
          <w:szCs w:val="32"/>
          <w:lang w:val="en-US" w:eastAsia="zh-CN"/>
        </w:rPr>
        <w:t xml:space="preserve"> 以现代学徒制的培养人才目标为线索我们和企业共同组建课程研究小组结合校企的特点根据现代学徒制以提高学生“职业技能+职业素养”的育人目标建立起了“课程模块化、理实一体项目化、项目岗位化”的课程体系架构模型。遵循“双主体育人”的现代学徒制理念现代学徒制的实施在教学上和学生管理上需要采取“双导师”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现代学徒制的学生评定标准主要从期末技能性考试和过程性考核相结合的方式进行建立多方参与、多方评价的现代学徒制教学质量考核评价机制对学生进行科学的考核评价。学生学习过程中技能等级须达到中级工以上水平。考核合格领取由企业与学校共同颁发的学徒合格证并成为学生毕业条件之一。同时对学校教学与企业实践教学进行过程性考核结合学生成长档案对教育教学中存在的问题及时进行反馈并对教师进行改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现代学徒制主要以学校教学与企业实践教学两种方式进行对评价进行五个等级的划分分别为优≥9594≥良≥8584≥中≥7574≥合格≥65差≤64。课堂教学质量评价等级相对于实践教学评价等级容易的多向学生发放试卷学生做题批发试卷最后进行分数统计与学生的学习质量进行分析按照传统的课堂教学质量评价方法进行评价。而实践教学评价涉及到的内容更多更广泛首先是对学生综合素质、掌握理论知识、技能熟练度的一个评价其次是老师（师傅）与老师（师傅）之间的互相评价主要考核教师教学的态度、教学的内容、教学的效果以及安全与纪律、组织管理的能力三是学生对教师（师傅）的评价主要包括教师教学的态度、教学的内容、教学的效果、安全与纪律和组织管理能力五个方面的评价四是督导专家对教师（师傅）的评价主要包括出勤与穿着、教学组织、教学秩序、巡回指导四个方面的评价五是教学系部对教师（师傅）的评价主要包括工作态度、教学组织管理、教学业务能力、科研能力四个方面的评价最后是用人单位对学生的评价包括职业技能、组织能力、职业素养、工匠精神四个方面的评价。每个评价内容占有不同的比例并且对评价内容也进行了细化为的就是能对学生、教师进行全方位的评价保证教学质量的提高具体见下图。</w:t>
      </w:r>
    </w:p>
    <w:p>
      <w:pPr>
        <w:spacing w:line="360" w:lineRule="auto"/>
        <w:jc w:val="center"/>
        <w:outlineLvl w:val="9"/>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drawing>
          <wp:inline distT="0" distB="0" distL="114300" distR="114300">
            <wp:extent cx="2414270" cy="2107565"/>
            <wp:effectExtent l="6350" t="6350" r="17780" b="196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eastAsia" w:ascii="方正仿宋_GBK" w:hAnsi="方正仿宋_GBK" w:eastAsia="方正仿宋_GBK" w:cs="方正仿宋_GBK"/>
          <w:b/>
          <w:bCs/>
          <w:sz w:val="28"/>
          <w:szCs w:val="28"/>
          <w:lang w:val="en-US" w:eastAsia="zh-CN"/>
        </w:rPr>
        <w:drawing>
          <wp:inline distT="0" distB="0" distL="114300" distR="114300">
            <wp:extent cx="2613660" cy="2096135"/>
            <wp:effectExtent l="6350" t="6350" r="8890" b="12065"/>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jc w:val="center"/>
        <w:outlineLvl w:val="9"/>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drawing>
          <wp:inline distT="0" distB="0" distL="114300" distR="114300">
            <wp:extent cx="2412365" cy="2124075"/>
            <wp:effectExtent l="4445" t="4445" r="21590" b="508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ascii="方正仿宋_GBK" w:hAnsi="方正仿宋_GBK" w:eastAsia="方正仿宋_GBK" w:cs="方正仿宋_GBK"/>
          <w:b/>
          <w:bCs/>
          <w:sz w:val="28"/>
          <w:szCs w:val="28"/>
          <w:lang w:val="en-US" w:eastAsia="zh-CN"/>
        </w:rPr>
        <w:drawing>
          <wp:inline distT="0" distB="0" distL="114300" distR="114300">
            <wp:extent cx="2642235" cy="2130425"/>
            <wp:effectExtent l="4445" t="4445" r="20320" b="1778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jc w:val="center"/>
        <w:outlineLvl w:val="9"/>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drawing>
          <wp:inline distT="0" distB="0" distL="114300" distR="114300">
            <wp:extent cx="2433955" cy="2210435"/>
            <wp:effectExtent l="4445" t="4445" r="19050" b="1397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方正仿宋_GBK" w:hAnsi="方正仿宋_GBK" w:eastAsia="方正仿宋_GBK" w:cs="方正仿宋_GBK"/>
          <w:b/>
          <w:bCs/>
          <w:sz w:val="28"/>
          <w:szCs w:val="28"/>
          <w:lang w:val="en-US" w:eastAsia="zh-CN"/>
        </w:rPr>
        <w:drawing>
          <wp:inline distT="0" distB="0" distL="114300" distR="114300">
            <wp:extent cx="2611120" cy="2200910"/>
            <wp:effectExtent l="4445" t="4445" r="13335" b="23495"/>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根据教学质量评价体系建立评价主体所用的评价表相应的质量评价表格见附表1-2。</w:t>
      </w:r>
    </w:p>
    <w:p>
      <w:pPr>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1-2现代学徒制教学质量评价表（双导师用）</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260"/>
        <w:gridCol w:w="821"/>
        <w:gridCol w:w="615"/>
        <w:gridCol w:w="555"/>
        <w:gridCol w:w="585"/>
        <w:gridCol w:w="525"/>
        <w:gridCol w:w="600"/>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065" w:type="dxa"/>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学生</w:t>
            </w:r>
          </w:p>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姓名</w:t>
            </w:r>
          </w:p>
        </w:tc>
        <w:tc>
          <w:tcPr>
            <w:tcW w:w="3260" w:type="dxa"/>
          </w:tcPr>
          <w:p>
            <w:pPr>
              <w:outlineLvl w:val="9"/>
              <w:rPr>
                <w:rFonts w:hint="eastAsia" w:ascii="方正仿宋_GBK" w:hAnsi="方正仿宋_GBK" w:eastAsia="方正仿宋_GBK" w:cs="方正仿宋_GBK"/>
                <w:sz w:val="21"/>
                <w:szCs w:val="21"/>
                <w:vertAlign w:val="baseline"/>
                <w:lang w:val="en-US" w:eastAsia="zh-CN"/>
              </w:rPr>
            </w:pPr>
          </w:p>
        </w:tc>
        <w:tc>
          <w:tcPr>
            <w:tcW w:w="1436"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班级</w:t>
            </w:r>
          </w:p>
        </w:tc>
        <w:tc>
          <w:tcPr>
            <w:tcW w:w="2761" w:type="dxa"/>
            <w:gridSpan w:val="5"/>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课程</w:t>
            </w:r>
          </w:p>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名称</w:t>
            </w:r>
          </w:p>
        </w:tc>
        <w:tc>
          <w:tcPr>
            <w:tcW w:w="3260" w:type="dxa"/>
          </w:tcPr>
          <w:p>
            <w:pPr>
              <w:outlineLvl w:val="9"/>
              <w:rPr>
                <w:rFonts w:hint="eastAsia" w:ascii="方正仿宋_GBK" w:hAnsi="方正仿宋_GBK" w:eastAsia="方正仿宋_GBK" w:cs="方正仿宋_GBK"/>
                <w:sz w:val="21"/>
                <w:szCs w:val="21"/>
                <w:vertAlign w:val="baseline"/>
                <w:lang w:val="en-US" w:eastAsia="zh-CN"/>
              </w:rPr>
            </w:pPr>
          </w:p>
        </w:tc>
        <w:tc>
          <w:tcPr>
            <w:tcW w:w="1436"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学期</w:t>
            </w:r>
          </w:p>
        </w:tc>
        <w:tc>
          <w:tcPr>
            <w:tcW w:w="2761" w:type="dxa"/>
            <w:gridSpan w:val="5"/>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填表说明：</w:t>
            </w:r>
            <w:r>
              <w:rPr>
                <w:rFonts w:hint="eastAsia" w:ascii="方正仿宋_GBK" w:hAnsi="方正仿宋_GBK" w:eastAsia="方正仿宋_GBK" w:cs="方正仿宋_GBK"/>
                <w:sz w:val="21"/>
                <w:szCs w:val="21"/>
                <w:lang w:val="en-US" w:eastAsia="zh-CN"/>
              </w:rPr>
              <w:t>优≥9594≥良≥8584≥中≥7574≥合格≥65差≤64</w:t>
            </w:r>
            <w:r>
              <w:rPr>
                <w:rFonts w:hint="eastAsia" w:ascii="方正仿宋_GBK" w:hAnsi="方正仿宋_GBK" w:eastAsia="方正仿宋_GBK" w:cs="方正仿宋_GBK"/>
                <w:sz w:val="21"/>
                <w:szCs w:val="21"/>
                <w:vertAlign w:val="baseline"/>
                <w:lang w:val="en-US" w:eastAsia="zh-CN"/>
              </w:rPr>
              <w:t>请在相应空格处打√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类别</w:t>
            </w:r>
          </w:p>
        </w:tc>
        <w:tc>
          <w:tcPr>
            <w:tcW w:w="4081"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要求</w:t>
            </w:r>
          </w:p>
        </w:tc>
        <w:tc>
          <w:tcPr>
            <w:tcW w:w="61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优</w:t>
            </w:r>
          </w:p>
        </w:tc>
        <w:tc>
          <w:tcPr>
            <w:tcW w:w="55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良</w:t>
            </w:r>
          </w:p>
        </w:tc>
        <w:tc>
          <w:tcPr>
            <w:tcW w:w="58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中</w:t>
            </w:r>
          </w:p>
        </w:tc>
        <w:tc>
          <w:tcPr>
            <w:tcW w:w="52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合格</w:t>
            </w:r>
          </w:p>
        </w:tc>
        <w:tc>
          <w:tcPr>
            <w:tcW w:w="600"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差</w:t>
            </w:r>
          </w:p>
        </w:tc>
        <w:tc>
          <w:tcPr>
            <w:tcW w:w="496"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1.工作态度15%</w:t>
            </w:r>
          </w:p>
        </w:tc>
        <w:tc>
          <w:tcPr>
            <w:tcW w:w="4081" w:type="dxa"/>
            <w:gridSpan w:val="2"/>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学生遵守学校或企业各项制度虚心接受各项教学任务</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vAlign w:val="center"/>
          </w:tcPr>
          <w:p>
            <w:pPr>
              <w:jc w:val="cente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学生积极向上按时到岗无迟到、早退、旷课等现象</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65" w:type="dxa"/>
            <w:vMerge w:val="continue"/>
            <w:vAlign w:val="center"/>
          </w:tcPr>
          <w:p>
            <w:pPr>
              <w:jc w:val="cente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vAlign w:val="center"/>
          </w:tcPr>
          <w:p>
            <w:pPr>
              <w:tabs>
                <w:tab w:val="left" w:pos="1228"/>
              </w:tabs>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遇到疑难问题主动请教老师和师傅</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065" w:type="dxa"/>
            <w:vMerge w:val="continue"/>
            <w:vAlign w:val="center"/>
          </w:tcPr>
          <w:p>
            <w:pPr>
              <w:jc w:val="cente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vAlign w:val="center"/>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具有良好的团队合作精神</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2.工作内容50%</w:t>
            </w:r>
          </w:p>
        </w:tc>
        <w:tc>
          <w:tcPr>
            <w:tcW w:w="4081" w:type="dxa"/>
            <w:gridSpan w:val="2"/>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课前预习、课后回顾理论基础知识和实践操作的相关事项</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065" w:type="dxa"/>
            <w:vMerge w:val="continue"/>
            <w:vAlign w:val="center"/>
          </w:tcPr>
          <w:p>
            <w:pPr>
              <w:jc w:val="cente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vAlign w:val="center"/>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熟练使用工具完成装配任务</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065" w:type="dxa"/>
            <w:vMerge w:val="continue"/>
            <w:vAlign w:val="center"/>
          </w:tcPr>
          <w:p>
            <w:pPr>
              <w:jc w:val="cente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会对电路故障进行检查分析并解决</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065" w:type="dxa"/>
            <w:vMerge w:val="continue"/>
            <w:vAlign w:val="center"/>
          </w:tcPr>
          <w:p>
            <w:pPr>
              <w:jc w:val="cente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vAlign w:val="center"/>
          </w:tcPr>
          <w:p>
            <w:pPr>
              <w:jc w:val="both"/>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会对电子元器件进行识别与检测</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3.安全意识20%</w:t>
            </w:r>
          </w:p>
        </w:tc>
        <w:tc>
          <w:tcPr>
            <w:tcW w:w="4081" w:type="dxa"/>
            <w:gridSpan w:val="2"/>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了解岗位所必备安全注意事项及操作的规则</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65" w:type="dxa"/>
            <w:vMerge w:val="continue"/>
            <w:vAlign w:val="center"/>
          </w:tcPr>
          <w:p>
            <w:pPr>
              <w:jc w:val="cente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vAlign w:val="center"/>
          </w:tcPr>
          <w:p>
            <w:pPr>
              <w:jc w:val="both"/>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严格按照安全操作规则进行装配</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vAlign w:val="center"/>
          </w:tcPr>
          <w:p>
            <w:pPr>
              <w:jc w:val="cente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对本人因失误导致的问题能勇于承担不推诿不撒谎</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vAlign w:val="center"/>
          </w:tcPr>
          <w:p>
            <w:pPr>
              <w:jc w:val="cente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具有敏锐的安全意识发现安全隐患及时上报并提出解决问题的建议</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4.语言表达能力15%</w:t>
            </w:r>
          </w:p>
        </w:tc>
        <w:tc>
          <w:tcPr>
            <w:tcW w:w="4081" w:type="dxa"/>
            <w:gridSpan w:val="2"/>
            <w:vAlign w:val="center"/>
          </w:tcPr>
          <w:p>
            <w:pPr>
              <w:jc w:val="both"/>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语言表达能力较强思路清晰</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vAlign w:val="center"/>
          </w:tcPr>
          <w:p>
            <w:pPr>
              <w:jc w:val="cente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掌握一门基础外语（英）可以读懂设备上标注的简单外语标示了解其表达的含义</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jc w:val="center"/>
        </w:trPr>
        <w:tc>
          <w:tcPr>
            <w:tcW w:w="106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总分</w:t>
            </w:r>
          </w:p>
        </w:tc>
        <w:tc>
          <w:tcPr>
            <w:tcW w:w="7457" w:type="dxa"/>
            <w:gridSpan w:val="8"/>
          </w:tcPr>
          <w:p>
            <w:pPr>
              <w:outlineLvl w:val="9"/>
              <w:rPr>
                <w:rFonts w:hint="eastAsia" w:ascii="方正仿宋_GBK" w:hAnsi="方正仿宋_GBK" w:eastAsia="方正仿宋_GBK" w:cs="方正仿宋_GBK"/>
                <w:sz w:val="21"/>
                <w:szCs w:val="21"/>
                <w:vertAlign w:val="baseline"/>
                <w:lang w:val="en-US" w:eastAsia="zh-CN"/>
              </w:rPr>
            </w:pPr>
          </w:p>
        </w:tc>
      </w:tr>
    </w:tbl>
    <w:p>
      <w:pPr>
        <w:jc w:val="both"/>
        <w:outlineLvl w:val="9"/>
        <w:rPr>
          <w:rFonts w:hint="eastAsia" w:ascii="方正仿宋_GBK" w:hAnsi="方正仿宋_GBK" w:eastAsia="方正仿宋_GBK" w:cs="方正仿宋_GBK"/>
          <w:b/>
          <w:bCs/>
          <w:sz w:val="28"/>
          <w:szCs w:val="28"/>
          <w:lang w:val="en-US" w:eastAsia="zh-CN"/>
        </w:rPr>
      </w:pPr>
    </w:p>
    <w:p>
      <w:pPr>
        <w:outlineLvl w:val="9"/>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br w:type="page"/>
      </w:r>
    </w:p>
    <w:p>
      <w:pPr>
        <w:ind w:firstLine="823" w:firstLineChars="0"/>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1-2实践教学评价表（同行评价用）</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3266"/>
        <w:gridCol w:w="821"/>
        <w:gridCol w:w="615"/>
        <w:gridCol w:w="555"/>
        <w:gridCol w:w="585"/>
        <w:gridCol w:w="525"/>
        <w:gridCol w:w="600"/>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tcPr>
          <w:p>
            <w:pP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授课教师（师傅）</w:t>
            </w:r>
          </w:p>
        </w:tc>
        <w:tc>
          <w:tcPr>
            <w:tcW w:w="3266"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1436" w:type="dxa"/>
            <w:gridSpan w:val="2"/>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班级</w:t>
            </w:r>
          </w:p>
        </w:tc>
        <w:tc>
          <w:tcPr>
            <w:tcW w:w="2761" w:type="dxa"/>
            <w:gridSpan w:val="5"/>
          </w:tcPr>
          <w:p>
            <w:pPr>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课程</w:t>
            </w:r>
          </w:p>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名称</w:t>
            </w:r>
          </w:p>
        </w:tc>
        <w:tc>
          <w:tcPr>
            <w:tcW w:w="3266"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1436" w:type="dxa"/>
            <w:gridSpan w:val="2"/>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学期</w:t>
            </w:r>
          </w:p>
        </w:tc>
        <w:tc>
          <w:tcPr>
            <w:tcW w:w="2761" w:type="dxa"/>
            <w:gridSpan w:val="5"/>
          </w:tcPr>
          <w:p>
            <w:pPr>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tcPr>
          <w:p>
            <w:pP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填表说明：</w:t>
            </w:r>
            <w:r>
              <w:rPr>
                <w:rFonts w:hint="eastAsia" w:ascii="方正仿宋_GBK" w:hAnsi="方正仿宋_GBK" w:eastAsia="方正仿宋_GBK" w:cs="方正仿宋_GBK"/>
                <w:b w:val="0"/>
                <w:bCs w:val="0"/>
                <w:sz w:val="21"/>
                <w:szCs w:val="21"/>
                <w:lang w:val="en-US" w:eastAsia="zh-CN"/>
              </w:rPr>
              <w:t>优≥9594≥良≥8584≥中≥7574≥合格≥65差≤64</w:t>
            </w:r>
            <w:r>
              <w:rPr>
                <w:rFonts w:hint="eastAsia" w:ascii="方正仿宋_GBK" w:hAnsi="方正仿宋_GBK" w:eastAsia="方正仿宋_GBK" w:cs="方正仿宋_GBK"/>
                <w:b w:val="0"/>
                <w:bCs w:val="0"/>
                <w:sz w:val="21"/>
                <w:szCs w:val="21"/>
                <w:vertAlign w:val="baseline"/>
                <w:lang w:val="en-US" w:eastAsia="zh-CN"/>
              </w:rPr>
              <w:t>请在相应空格处打√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类别</w:t>
            </w:r>
          </w:p>
        </w:tc>
        <w:tc>
          <w:tcPr>
            <w:tcW w:w="4087" w:type="dxa"/>
            <w:gridSpan w:val="2"/>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要求</w:t>
            </w:r>
          </w:p>
        </w:tc>
        <w:tc>
          <w:tcPr>
            <w:tcW w:w="615" w:type="dxa"/>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优</w:t>
            </w:r>
          </w:p>
        </w:tc>
        <w:tc>
          <w:tcPr>
            <w:tcW w:w="555" w:type="dxa"/>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良</w:t>
            </w:r>
          </w:p>
        </w:tc>
        <w:tc>
          <w:tcPr>
            <w:tcW w:w="585" w:type="dxa"/>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中</w:t>
            </w:r>
          </w:p>
        </w:tc>
        <w:tc>
          <w:tcPr>
            <w:tcW w:w="525" w:type="dxa"/>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合格</w:t>
            </w:r>
          </w:p>
        </w:tc>
        <w:tc>
          <w:tcPr>
            <w:tcW w:w="600" w:type="dxa"/>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差</w:t>
            </w:r>
          </w:p>
        </w:tc>
        <w:tc>
          <w:tcPr>
            <w:tcW w:w="496" w:type="dxa"/>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59" w:type="dxa"/>
            <w:vMerge w:val="restart"/>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1.教学态度10%</w:t>
            </w:r>
          </w:p>
        </w:tc>
        <w:tc>
          <w:tcPr>
            <w:tcW w:w="4087" w:type="dxa"/>
            <w:gridSpan w:val="2"/>
            <w:vAlign w:val="center"/>
          </w:tcPr>
          <w:p>
            <w:pPr>
              <w:jc w:val="both"/>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教师或企业师傅备课充分</w:t>
            </w:r>
          </w:p>
        </w:tc>
        <w:tc>
          <w:tcPr>
            <w:tcW w:w="61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5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8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2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600"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96" w:type="dxa"/>
          </w:tcPr>
          <w:p>
            <w:pPr>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Merge w:val="continue"/>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087" w:type="dxa"/>
            <w:gridSpan w:val="2"/>
          </w:tcPr>
          <w:p>
            <w:pP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上课准时不随意调课、停课、缺课等或是课上学生放羊状态</w:t>
            </w:r>
          </w:p>
        </w:tc>
        <w:tc>
          <w:tcPr>
            <w:tcW w:w="61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5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8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2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600"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96" w:type="dxa"/>
          </w:tcPr>
          <w:p>
            <w:pPr>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Merge w:val="continue"/>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087" w:type="dxa"/>
            <w:gridSpan w:val="2"/>
          </w:tcPr>
          <w:p>
            <w:pPr>
              <w:tabs>
                <w:tab w:val="left" w:pos="1228"/>
              </w:tabs>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授课认真耐心细致对学生提出的问题仔细认真的讲解</w:t>
            </w:r>
          </w:p>
        </w:tc>
        <w:tc>
          <w:tcPr>
            <w:tcW w:w="61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5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8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2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600"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96" w:type="dxa"/>
          </w:tcPr>
          <w:p>
            <w:pPr>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Merge w:val="restart"/>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2.教学内容50%</w:t>
            </w:r>
          </w:p>
        </w:tc>
        <w:tc>
          <w:tcPr>
            <w:tcW w:w="4087" w:type="dxa"/>
            <w:gridSpan w:val="2"/>
          </w:tcPr>
          <w:p>
            <w:pP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教学内容安排合理重难点突出讲解仔细教学内容充实</w:t>
            </w:r>
          </w:p>
        </w:tc>
        <w:tc>
          <w:tcPr>
            <w:tcW w:w="61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5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8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2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600"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96" w:type="dxa"/>
          </w:tcPr>
          <w:p>
            <w:pPr>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Merge w:val="continue"/>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087" w:type="dxa"/>
            <w:gridSpan w:val="2"/>
          </w:tcPr>
          <w:p>
            <w:pP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课堂将理论与实践相结合语言生动形象易于学生的理解</w:t>
            </w:r>
          </w:p>
        </w:tc>
        <w:tc>
          <w:tcPr>
            <w:tcW w:w="61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5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8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2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600"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96" w:type="dxa"/>
          </w:tcPr>
          <w:p>
            <w:pPr>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59" w:type="dxa"/>
            <w:vMerge w:val="continue"/>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087" w:type="dxa"/>
            <w:gridSpan w:val="2"/>
            <w:vAlign w:val="center"/>
          </w:tcPr>
          <w:p>
            <w:pPr>
              <w:jc w:val="both"/>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语言清晰语速适中板书工整</w:t>
            </w:r>
          </w:p>
        </w:tc>
        <w:tc>
          <w:tcPr>
            <w:tcW w:w="61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5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8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2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600"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96" w:type="dxa"/>
          </w:tcPr>
          <w:p>
            <w:pPr>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Merge w:val="continue"/>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087" w:type="dxa"/>
            <w:gridSpan w:val="2"/>
          </w:tcPr>
          <w:p>
            <w:pP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结合科技发展扩展新知识增加学生的视野</w:t>
            </w:r>
          </w:p>
        </w:tc>
        <w:tc>
          <w:tcPr>
            <w:tcW w:w="61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5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8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2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600"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96" w:type="dxa"/>
          </w:tcPr>
          <w:p>
            <w:pPr>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059" w:type="dxa"/>
            <w:vMerge w:val="restart"/>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3.教学效果20%</w:t>
            </w:r>
          </w:p>
        </w:tc>
        <w:tc>
          <w:tcPr>
            <w:tcW w:w="4087" w:type="dxa"/>
            <w:gridSpan w:val="2"/>
            <w:vAlign w:val="center"/>
          </w:tcPr>
          <w:p>
            <w:pPr>
              <w:jc w:val="both"/>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课堂教学气氛活跃师生关系融洽</w:t>
            </w:r>
          </w:p>
        </w:tc>
        <w:tc>
          <w:tcPr>
            <w:tcW w:w="61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5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8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2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600"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96" w:type="dxa"/>
          </w:tcPr>
          <w:p>
            <w:pPr>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Merge w:val="continue"/>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087" w:type="dxa"/>
            <w:gridSpan w:val="2"/>
          </w:tcPr>
          <w:p>
            <w:pP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学生掌握了本节课的理论知识及实践技能能独立完成操作要求</w:t>
            </w:r>
          </w:p>
        </w:tc>
        <w:tc>
          <w:tcPr>
            <w:tcW w:w="61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5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8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2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600"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96" w:type="dxa"/>
          </w:tcPr>
          <w:p>
            <w:pPr>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59" w:type="dxa"/>
            <w:vMerge w:val="continue"/>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087" w:type="dxa"/>
            <w:gridSpan w:val="2"/>
            <w:vAlign w:val="center"/>
          </w:tcPr>
          <w:p>
            <w:pPr>
              <w:jc w:val="both"/>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学生对该课程的学习兴趣浓厚</w:t>
            </w:r>
          </w:p>
        </w:tc>
        <w:tc>
          <w:tcPr>
            <w:tcW w:w="61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5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8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2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600"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96" w:type="dxa"/>
          </w:tcPr>
          <w:p>
            <w:pPr>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Merge w:val="restart"/>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4.教学安全与纪律10%</w:t>
            </w:r>
          </w:p>
        </w:tc>
        <w:tc>
          <w:tcPr>
            <w:tcW w:w="4087" w:type="dxa"/>
            <w:gridSpan w:val="2"/>
          </w:tcPr>
          <w:p>
            <w:pPr>
              <w:tabs>
                <w:tab w:val="center" w:pos="1932"/>
              </w:tabs>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课堂纪律良好学生按操作规程要求进行技能训练重视操作规程</w:t>
            </w:r>
          </w:p>
        </w:tc>
        <w:tc>
          <w:tcPr>
            <w:tcW w:w="61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5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8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2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600"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96" w:type="dxa"/>
          </w:tcPr>
          <w:p>
            <w:pPr>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Merge w:val="continue"/>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087" w:type="dxa"/>
            <w:gridSpan w:val="2"/>
          </w:tcPr>
          <w:p>
            <w:pPr>
              <w:tabs>
                <w:tab w:val="left" w:pos="1243"/>
              </w:tabs>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对实训后设备的清理和实训场地环境卫生</w:t>
            </w:r>
          </w:p>
        </w:tc>
        <w:tc>
          <w:tcPr>
            <w:tcW w:w="61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5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8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2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600"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96" w:type="dxa"/>
          </w:tcPr>
          <w:p>
            <w:pPr>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5.教学组织管理10%</w:t>
            </w:r>
          </w:p>
        </w:tc>
        <w:tc>
          <w:tcPr>
            <w:tcW w:w="4087" w:type="dxa"/>
            <w:gridSpan w:val="2"/>
          </w:tcPr>
          <w:p>
            <w:pPr>
              <w:tabs>
                <w:tab w:val="left" w:pos="1288"/>
              </w:tabs>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严格执行班级的出勤制度对学生进行合理的分组及任务的分解实践所需工具、设备的准备与调试</w:t>
            </w:r>
          </w:p>
        </w:tc>
        <w:tc>
          <w:tcPr>
            <w:tcW w:w="61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5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8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525"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600" w:type="dxa"/>
          </w:tcPr>
          <w:p>
            <w:pPr>
              <w:outlineLvl w:val="9"/>
              <w:rPr>
                <w:rFonts w:hint="eastAsia" w:ascii="方正仿宋_GBK" w:hAnsi="方正仿宋_GBK" w:eastAsia="方正仿宋_GBK" w:cs="方正仿宋_GBK"/>
                <w:b w:val="0"/>
                <w:bCs w:val="0"/>
                <w:sz w:val="21"/>
                <w:szCs w:val="21"/>
                <w:vertAlign w:val="baseline"/>
                <w:lang w:val="en-US" w:eastAsia="zh-CN"/>
              </w:rPr>
            </w:pPr>
          </w:p>
        </w:tc>
        <w:tc>
          <w:tcPr>
            <w:tcW w:w="496" w:type="dxa"/>
          </w:tcPr>
          <w:p>
            <w:pPr>
              <w:outlineLvl w:val="9"/>
              <w:rPr>
                <w:rFonts w:hint="eastAsia" w:ascii="方正仿宋_GBK" w:hAnsi="方正仿宋_GBK" w:eastAsia="方正仿宋_GBK" w:cs="方正仿宋_GBK"/>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059" w:type="dxa"/>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总分</w:t>
            </w:r>
          </w:p>
        </w:tc>
        <w:tc>
          <w:tcPr>
            <w:tcW w:w="7463" w:type="dxa"/>
            <w:gridSpan w:val="8"/>
            <w:vAlign w:val="center"/>
          </w:tcPr>
          <w:p>
            <w:pPr>
              <w:jc w:val="center"/>
              <w:outlineLvl w:val="9"/>
              <w:rPr>
                <w:rFonts w:hint="eastAsia" w:ascii="方正仿宋_GBK" w:hAnsi="方正仿宋_GBK" w:eastAsia="方正仿宋_GBK" w:cs="方正仿宋_GBK"/>
                <w:b w:val="0"/>
                <w:bCs w:val="0"/>
                <w:sz w:val="21"/>
                <w:szCs w:val="21"/>
                <w:vertAlign w:val="baseline"/>
                <w:lang w:val="en-US" w:eastAsia="zh-CN"/>
              </w:rPr>
            </w:pPr>
          </w:p>
        </w:tc>
      </w:tr>
    </w:tbl>
    <w:p>
      <w:pPr>
        <w:outlineLvl w:val="9"/>
        <w:rPr>
          <w:rFonts w:hint="eastAsia" w:ascii="方正仿宋_GBK" w:hAnsi="方正仿宋_GBK" w:eastAsia="方正仿宋_GBK" w:cs="方正仿宋_GBK"/>
          <w:sz w:val="28"/>
          <w:szCs w:val="28"/>
          <w:lang w:val="en-US" w:eastAsia="zh-CN"/>
        </w:rPr>
      </w:pPr>
    </w:p>
    <w:p>
      <w:pPr>
        <w:outlineLvl w:val="9"/>
        <w:rPr>
          <w:rFonts w:hint="eastAsia" w:ascii="方正仿宋_GBK" w:hAnsi="方正仿宋_GBK" w:eastAsia="方正仿宋_GBK" w:cs="方正仿宋_GBK"/>
          <w:sz w:val="28"/>
          <w:szCs w:val="28"/>
          <w:lang w:val="en-US" w:eastAsia="zh-CN"/>
        </w:rPr>
      </w:pPr>
    </w:p>
    <w:p>
      <w:pPr>
        <w:outlineLvl w:val="9"/>
        <w:rPr>
          <w:rFonts w:hint="eastAsia" w:ascii="方正仿宋_GBK" w:hAnsi="方正仿宋_GBK" w:eastAsia="方正仿宋_GBK" w:cs="方正仿宋_GBK"/>
          <w:sz w:val="28"/>
          <w:szCs w:val="28"/>
          <w:lang w:val="en-US" w:eastAsia="zh-CN"/>
        </w:rPr>
      </w:pPr>
    </w:p>
    <w:p>
      <w:pPr>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1-2实践教学质量评价表（学生用）</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260"/>
        <w:gridCol w:w="821"/>
        <w:gridCol w:w="615"/>
        <w:gridCol w:w="555"/>
        <w:gridCol w:w="585"/>
        <w:gridCol w:w="525"/>
        <w:gridCol w:w="600"/>
        <w:gridCol w:w="496"/>
      </w:tblGrid>
      <w:tr>
        <w:tblPrEx>
          <w:tblLayout w:type="fixed"/>
          <w:tblCellMar>
            <w:top w:w="0" w:type="dxa"/>
            <w:left w:w="108" w:type="dxa"/>
            <w:bottom w:w="0" w:type="dxa"/>
            <w:right w:w="108" w:type="dxa"/>
          </w:tblCellMar>
        </w:tblPrEx>
        <w:trPr>
          <w:jc w:val="center"/>
        </w:trPr>
        <w:tc>
          <w:tcPr>
            <w:tcW w:w="1065" w:type="dxa"/>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授课教师（师傅）</w:t>
            </w:r>
          </w:p>
        </w:tc>
        <w:tc>
          <w:tcPr>
            <w:tcW w:w="3260" w:type="dxa"/>
          </w:tcPr>
          <w:p>
            <w:pPr>
              <w:outlineLvl w:val="9"/>
              <w:rPr>
                <w:rFonts w:hint="eastAsia" w:ascii="方正仿宋_GBK" w:hAnsi="方正仿宋_GBK" w:eastAsia="方正仿宋_GBK" w:cs="方正仿宋_GBK"/>
                <w:sz w:val="21"/>
                <w:szCs w:val="21"/>
                <w:vertAlign w:val="baseline"/>
                <w:lang w:val="en-US" w:eastAsia="zh-CN"/>
              </w:rPr>
            </w:pPr>
          </w:p>
        </w:tc>
        <w:tc>
          <w:tcPr>
            <w:tcW w:w="1436"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班级</w:t>
            </w:r>
          </w:p>
        </w:tc>
        <w:tc>
          <w:tcPr>
            <w:tcW w:w="2761" w:type="dxa"/>
            <w:gridSpan w:val="5"/>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课程</w:t>
            </w:r>
          </w:p>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名称</w:t>
            </w:r>
          </w:p>
        </w:tc>
        <w:tc>
          <w:tcPr>
            <w:tcW w:w="3260" w:type="dxa"/>
          </w:tcPr>
          <w:p>
            <w:pPr>
              <w:outlineLvl w:val="9"/>
              <w:rPr>
                <w:rFonts w:hint="eastAsia" w:ascii="方正仿宋_GBK" w:hAnsi="方正仿宋_GBK" w:eastAsia="方正仿宋_GBK" w:cs="方正仿宋_GBK"/>
                <w:sz w:val="21"/>
                <w:szCs w:val="21"/>
                <w:vertAlign w:val="baseline"/>
                <w:lang w:val="en-US" w:eastAsia="zh-CN"/>
              </w:rPr>
            </w:pPr>
          </w:p>
        </w:tc>
        <w:tc>
          <w:tcPr>
            <w:tcW w:w="1436"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学期</w:t>
            </w:r>
          </w:p>
        </w:tc>
        <w:tc>
          <w:tcPr>
            <w:tcW w:w="2761" w:type="dxa"/>
            <w:gridSpan w:val="5"/>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填表说明：</w:t>
            </w:r>
            <w:r>
              <w:rPr>
                <w:rFonts w:hint="eastAsia" w:ascii="方正仿宋_GBK" w:hAnsi="方正仿宋_GBK" w:eastAsia="方正仿宋_GBK" w:cs="方正仿宋_GBK"/>
                <w:sz w:val="21"/>
                <w:szCs w:val="21"/>
                <w:lang w:val="en-US" w:eastAsia="zh-CN"/>
              </w:rPr>
              <w:t>优≥9594≥良≥8584≥中≥7574≥合格≥65差≤64</w:t>
            </w:r>
            <w:r>
              <w:rPr>
                <w:rFonts w:hint="eastAsia" w:ascii="方正仿宋_GBK" w:hAnsi="方正仿宋_GBK" w:eastAsia="方正仿宋_GBK" w:cs="方正仿宋_GBK"/>
                <w:sz w:val="21"/>
                <w:szCs w:val="21"/>
                <w:vertAlign w:val="baseline"/>
                <w:lang w:val="en-US" w:eastAsia="zh-CN"/>
              </w:rPr>
              <w:t>请在相应空格处打√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类别</w:t>
            </w:r>
          </w:p>
        </w:tc>
        <w:tc>
          <w:tcPr>
            <w:tcW w:w="4081"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要求</w:t>
            </w:r>
          </w:p>
        </w:tc>
        <w:tc>
          <w:tcPr>
            <w:tcW w:w="61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优</w:t>
            </w:r>
          </w:p>
        </w:tc>
        <w:tc>
          <w:tcPr>
            <w:tcW w:w="55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良</w:t>
            </w:r>
          </w:p>
        </w:tc>
        <w:tc>
          <w:tcPr>
            <w:tcW w:w="58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中</w:t>
            </w:r>
          </w:p>
        </w:tc>
        <w:tc>
          <w:tcPr>
            <w:tcW w:w="52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合格</w:t>
            </w:r>
          </w:p>
        </w:tc>
        <w:tc>
          <w:tcPr>
            <w:tcW w:w="600"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差</w:t>
            </w:r>
          </w:p>
        </w:tc>
        <w:tc>
          <w:tcPr>
            <w:tcW w:w="496"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1.教学态度10%</w:t>
            </w:r>
          </w:p>
        </w:tc>
        <w:tc>
          <w:tcPr>
            <w:tcW w:w="4081" w:type="dxa"/>
            <w:gridSpan w:val="2"/>
            <w:vAlign w:val="center"/>
          </w:tcPr>
          <w:p>
            <w:pPr>
              <w:jc w:val="both"/>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教师或企业师傅备课充分</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上课准时不随意调课、停课、缺课等或是课上学生放羊状态</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tabs>
                <w:tab w:val="left" w:pos="1228"/>
              </w:tabs>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授课认真示范指导规范耐心细致对学生提出的问题仔细认真的讲解</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2.教学内容50%</w:t>
            </w: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教学内容安排合理重难点突出讲解仔细教学内容充实</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课堂将理论与实践相结合语言生动形象易于学生的理解</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vAlign w:val="center"/>
          </w:tcPr>
          <w:p>
            <w:pPr>
              <w:jc w:val="both"/>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语言清晰语速适中板书工整</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结合科技发展扩展新知识增加学生的视野</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3.教学效果20%</w:t>
            </w: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课堂教学气氛活跃师生关系融洽对学生有较强的吸引力</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学生掌握了本节课的理论知识及实践技能能独立完成操作要求或小组合作完成操作</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学生对该课程的学习兴趣浓厚从老师身上学到更多的知识</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4.教学安全与纪律10%</w:t>
            </w:r>
          </w:p>
        </w:tc>
        <w:tc>
          <w:tcPr>
            <w:tcW w:w="4081" w:type="dxa"/>
            <w:gridSpan w:val="2"/>
          </w:tcPr>
          <w:p>
            <w:pPr>
              <w:tabs>
                <w:tab w:val="center" w:pos="1932"/>
              </w:tabs>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课堂纪律良好学生按操作规程要求进行技能训练重视操作规程</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tabs>
                <w:tab w:val="left" w:pos="1243"/>
              </w:tabs>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对实训后设备的清理和实训场地环境卫生</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5.教学组织管理10%</w:t>
            </w:r>
          </w:p>
        </w:tc>
        <w:tc>
          <w:tcPr>
            <w:tcW w:w="4081" w:type="dxa"/>
            <w:gridSpan w:val="2"/>
          </w:tcPr>
          <w:p>
            <w:pPr>
              <w:tabs>
                <w:tab w:val="left" w:pos="1288"/>
              </w:tabs>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严格执行班级的出勤制度对学生进行合理的分组及任务的分解实践所需工具、设备的准备与调试</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106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总分</w:t>
            </w:r>
          </w:p>
        </w:tc>
        <w:tc>
          <w:tcPr>
            <w:tcW w:w="7457" w:type="dxa"/>
            <w:gridSpan w:val="8"/>
          </w:tcPr>
          <w:p>
            <w:pPr>
              <w:outlineLvl w:val="9"/>
              <w:rPr>
                <w:rFonts w:hint="eastAsia" w:ascii="方正仿宋_GBK" w:hAnsi="方正仿宋_GBK" w:eastAsia="方正仿宋_GBK" w:cs="方正仿宋_GBK"/>
                <w:sz w:val="21"/>
                <w:szCs w:val="21"/>
                <w:vertAlign w:val="baseline"/>
                <w:lang w:val="en-US" w:eastAsia="zh-CN"/>
              </w:rPr>
            </w:pPr>
          </w:p>
        </w:tc>
      </w:tr>
    </w:tbl>
    <w:p>
      <w:pPr>
        <w:outlineLvl w:val="9"/>
        <w:rPr>
          <w:rFonts w:hint="eastAsia" w:ascii="方正仿宋_GBK" w:hAnsi="方正仿宋_GBK" w:eastAsia="方正仿宋_GBK" w:cs="方正仿宋_GBK"/>
          <w:sz w:val="28"/>
          <w:szCs w:val="28"/>
          <w:lang w:val="en-US" w:eastAsia="zh-CN"/>
        </w:rPr>
      </w:pPr>
    </w:p>
    <w:p>
      <w:pPr>
        <w:outlineLvl w:val="9"/>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br w:type="page"/>
      </w:r>
    </w:p>
    <w:p>
      <w:pPr>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1-2实践教学质量评价表（专家督导用）</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260"/>
        <w:gridCol w:w="821"/>
        <w:gridCol w:w="615"/>
        <w:gridCol w:w="555"/>
        <w:gridCol w:w="585"/>
        <w:gridCol w:w="525"/>
        <w:gridCol w:w="600"/>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授课教师（师傅）</w:t>
            </w:r>
          </w:p>
        </w:tc>
        <w:tc>
          <w:tcPr>
            <w:tcW w:w="3260" w:type="dxa"/>
          </w:tcPr>
          <w:p>
            <w:pPr>
              <w:outlineLvl w:val="9"/>
              <w:rPr>
                <w:rFonts w:hint="eastAsia" w:ascii="方正仿宋_GBK" w:hAnsi="方正仿宋_GBK" w:eastAsia="方正仿宋_GBK" w:cs="方正仿宋_GBK"/>
                <w:sz w:val="21"/>
                <w:szCs w:val="21"/>
                <w:vertAlign w:val="baseline"/>
                <w:lang w:val="en-US" w:eastAsia="zh-CN"/>
              </w:rPr>
            </w:pPr>
          </w:p>
        </w:tc>
        <w:tc>
          <w:tcPr>
            <w:tcW w:w="1436"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班级</w:t>
            </w:r>
          </w:p>
        </w:tc>
        <w:tc>
          <w:tcPr>
            <w:tcW w:w="2761" w:type="dxa"/>
            <w:gridSpan w:val="5"/>
            <w:vAlign w:val="center"/>
          </w:tcPr>
          <w:p>
            <w:pPr>
              <w:jc w:val="cente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课程</w:t>
            </w:r>
          </w:p>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名称</w:t>
            </w:r>
          </w:p>
        </w:tc>
        <w:tc>
          <w:tcPr>
            <w:tcW w:w="3260" w:type="dxa"/>
          </w:tcPr>
          <w:p>
            <w:pPr>
              <w:outlineLvl w:val="9"/>
              <w:rPr>
                <w:rFonts w:hint="eastAsia" w:ascii="方正仿宋_GBK" w:hAnsi="方正仿宋_GBK" w:eastAsia="方正仿宋_GBK" w:cs="方正仿宋_GBK"/>
                <w:sz w:val="21"/>
                <w:szCs w:val="21"/>
                <w:vertAlign w:val="baseline"/>
                <w:lang w:val="en-US" w:eastAsia="zh-CN"/>
              </w:rPr>
            </w:pPr>
          </w:p>
        </w:tc>
        <w:tc>
          <w:tcPr>
            <w:tcW w:w="1436"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学期</w:t>
            </w:r>
          </w:p>
        </w:tc>
        <w:tc>
          <w:tcPr>
            <w:tcW w:w="2761" w:type="dxa"/>
            <w:gridSpan w:val="5"/>
            <w:vAlign w:val="center"/>
          </w:tcPr>
          <w:p>
            <w:pPr>
              <w:jc w:val="cente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填表说明：</w:t>
            </w:r>
            <w:r>
              <w:rPr>
                <w:rFonts w:hint="eastAsia" w:ascii="方正仿宋_GBK" w:hAnsi="方正仿宋_GBK" w:eastAsia="方正仿宋_GBK" w:cs="方正仿宋_GBK"/>
                <w:sz w:val="21"/>
                <w:szCs w:val="21"/>
                <w:lang w:val="en-US" w:eastAsia="zh-CN"/>
              </w:rPr>
              <w:t>优≥9594≥良≥8584≥中≥7574≥合格≥65差≤64</w:t>
            </w:r>
            <w:r>
              <w:rPr>
                <w:rFonts w:hint="eastAsia" w:ascii="方正仿宋_GBK" w:hAnsi="方正仿宋_GBK" w:eastAsia="方正仿宋_GBK" w:cs="方正仿宋_GBK"/>
                <w:sz w:val="21"/>
                <w:szCs w:val="21"/>
                <w:vertAlign w:val="baseline"/>
                <w:lang w:val="en-US" w:eastAsia="zh-CN"/>
              </w:rPr>
              <w:t>请在相应空格处打√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类别</w:t>
            </w:r>
          </w:p>
        </w:tc>
        <w:tc>
          <w:tcPr>
            <w:tcW w:w="4081"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要求</w:t>
            </w:r>
          </w:p>
        </w:tc>
        <w:tc>
          <w:tcPr>
            <w:tcW w:w="61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优</w:t>
            </w:r>
          </w:p>
        </w:tc>
        <w:tc>
          <w:tcPr>
            <w:tcW w:w="55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良</w:t>
            </w:r>
          </w:p>
        </w:tc>
        <w:tc>
          <w:tcPr>
            <w:tcW w:w="58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中</w:t>
            </w:r>
          </w:p>
        </w:tc>
        <w:tc>
          <w:tcPr>
            <w:tcW w:w="52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合格</w:t>
            </w:r>
          </w:p>
        </w:tc>
        <w:tc>
          <w:tcPr>
            <w:tcW w:w="600"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差</w:t>
            </w:r>
          </w:p>
        </w:tc>
        <w:tc>
          <w:tcPr>
            <w:tcW w:w="496"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1.出勤情况及服装仪表10%</w:t>
            </w:r>
          </w:p>
        </w:tc>
        <w:tc>
          <w:tcPr>
            <w:tcW w:w="4081" w:type="dxa"/>
            <w:gridSpan w:val="2"/>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教师、企业师傅按时到岗无迟到、串岗、提前离岗或中途随意离开的现象</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教师、企业师傅按岗位规定穿戴工作服衣冠整洁</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tabs>
                <w:tab w:val="left" w:pos="1228"/>
              </w:tabs>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课前对学生进行点名严格执行课前考勤制度</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2.教学组织50%</w:t>
            </w:r>
          </w:p>
        </w:tc>
        <w:tc>
          <w:tcPr>
            <w:tcW w:w="4081" w:type="dxa"/>
            <w:gridSpan w:val="2"/>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能合理分配学生实训工位和所需设备对设备进行正常的调试</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设备做到责任到人主要负责设备的保管与归还</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能及时合理安排布置操作任务步骤清晰明了</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操作内容安排合理并能按照计划完成教学内容</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3.教学秩序20%</w:t>
            </w:r>
          </w:p>
        </w:tc>
        <w:tc>
          <w:tcPr>
            <w:tcW w:w="4081" w:type="dxa"/>
            <w:gridSpan w:val="2"/>
            <w:vAlign w:val="center"/>
          </w:tcPr>
          <w:p>
            <w:pPr>
              <w:jc w:val="both"/>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课堂教学气氛活跃师生关系融洽</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上课纪律良好、学生无睡觉和注意力不集中现象</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操作过程中学生无聚众闲谈、打闹、吃东西现象</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对学生的操作监督到位对违反操作规程的学生能及时制止</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4.小组分工合作与巡回指导20%</w:t>
            </w:r>
          </w:p>
        </w:tc>
        <w:tc>
          <w:tcPr>
            <w:tcW w:w="4081" w:type="dxa"/>
            <w:gridSpan w:val="2"/>
          </w:tcPr>
          <w:p>
            <w:pPr>
              <w:tabs>
                <w:tab w:val="center" w:pos="1932"/>
              </w:tabs>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重视安全教育按规范的操作规程进行操作</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tabs>
                <w:tab w:val="center" w:pos="1932"/>
              </w:tabs>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课堂中无学生违反安全操作规程操作中无不文明操作行为无随意毁坏仪器行为</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tabs>
                <w:tab w:val="left" w:pos="1243"/>
              </w:tabs>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实训场地设备、仪器摆放整齐对实训后设备的清理和实训场地环境卫生</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6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总分</w:t>
            </w:r>
          </w:p>
        </w:tc>
        <w:tc>
          <w:tcPr>
            <w:tcW w:w="7457" w:type="dxa"/>
            <w:gridSpan w:val="8"/>
          </w:tcPr>
          <w:p>
            <w:pPr>
              <w:outlineLvl w:val="9"/>
              <w:rPr>
                <w:rFonts w:hint="eastAsia" w:ascii="方正仿宋_GBK" w:hAnsi="方正仿宋_GBK" w:eastAsia="方正仿宋_GBK" w:cs="方正仿宋_GBK"/>
                <w:sz w:val="21"/>
                <w:szCs w:val="21"/>
                <w:vertAlign w:val="baseline"/>
                <w:lang w:val="en-US" w:eastAsia="zh-CN"/>
              </w:rPr>
            </w:pPr>
          </w:p>
        </w:tc>
      </w:tr>
    </w:tbl>
    <w:p>
      <w:pPr>
        <w:outlineLvl w:val="9"/>
        <w:rPr>
          <w:rFonts w:hint="eastAsia" w:ascii="方正仿宋_GBK" w:hAnsi="方正仿宋_GBK" w:eastAsia="方正仿宋_GBK" w:cs="方正仿宋_GBK"/>
          <w:sz w:val="28"/>
          <w:szCs w:val="28"/>
          <w:lang w:val="en-US" w:eastAsia="zh-CN"/>
        </w:rPr>
      </w:pPr>
    </w:p>
    <w:p>
      <w:pPr>
        <w:outlineLvl w:val="9"/>
        <w:rPr>
          <w:rFonts w:hint="eastAsia" w:ascii="方正仿宋_GBK" w:hAnsi="方正仿宋_GBK" w:eastAsia="方正仿宋_GBK" w:cs="方正仿宋_GBK"/>
          <w:sz w:val="28"/>
          <w:szCs w:val="28"/>
          <w:lang w:val="en-US" w:eastAsia="zh-CN"/>
        </w:rPr>
      </w:pPr>
    </w:p>
    <w:p>
      <w:pPr>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1-2实践教学质量评价表（教学系部用）</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260"/>
        <w:gridCol w:w="821"/>
        <w:gridCol w:w="615"/>
        <w:gridCol w:w="555"/>
        <w:gridCol w:w="585"/>
        <w:gridCol w:w="525"/>
        <w:gridCol w:w="600"/>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授课教师（师傅）</w:t>
            </w:r>
          </w:p>
        </w:tc>
        <w:tc>
          <w:tcPr>
            <w:tcW w:w="3260" w:type="dxa"/>
          </w:tcPr>
          <w:p>
            <w:pPr>
              <w:outlineLvl w:val="9"/>
              <w:rPr>
                <w:rFonts w:hint="eastAsia" w:ascii="方正仿宋_GBK" w:hAnsi="方正仿宋_GBK" w:eastAsia="方正仿宋_GBK" w:cs="方正仿宋_GBK"/>
                <w:sz w:val="21"/>
                <w:szCs w:val="21"/>
                <w:vertAlign w:val="baseline"/>
                <w:lang w:val="en-US" w:eastAsia="zh-CN"/>
              </w:rPr>
            </w:pPr>
          </w:p>
        </w:tc>
        <w:tc>
          <w:tcPr>
            <w:tcW w:w="1436"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班级</w:t>
            </w:r>
          </w:p>
        </w:tc>
        <w:tc>
          <w:tcPr>
            <w:tcW w:w="2761" w:type="dxa"/>
            <w:gridSpan w:val="5"/>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课程</w:t>
            </w:r>
          </w:p>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名称</w:t>
            </w:r>
          </w:p>
        </w:tc>
        <w:tc>
          <w:tcPr>
            <w:tcW w:w="3260" w:type="dxa"/>
          </w:tcPr>
          <w:p>
            <w:pPr>
              <w:outlineLvl w:val="9"/>
              <w:rPr>
                <w:rFonts w:hint="eastAsia" w:ascii="方正仿宋_GBK" w:hAnsi="方正仿宋_GBK" w:eastAsia="方正仿宋_GBK" w:cs="方正仿宋_GBK"/>
                <w:sz w:val="21"/>
                <w:szCs w:val="21"/>
                <w:vertAlign w:val="baseline"/>
                <w:lang w:val="en-US" w:eastAsia="zh-CN"/>
              </w:rPr>
            </w:pPr>
          </w:p>
        </w:tc>
        <w:tc>
          <w:tcPr>
            <w:tcW w:w="1436"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学期</w:t>
            </w:r>
          </w:p>
        </w:tc>
        <w:tc>
          <w:tcPr>
            <w:tcW w:w="2761" w:type="dxa"/>
            <w:gridSpan w:val="5"/>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填表说明：</w:t>
            </w:r>
            <w:r>
              <w:rPr>
                <w:rFonts w:hint="eastAsia" w:ascii="方正仿宋_GBK" w:hAnsi="方正仿宋_GBK" w:eastAsia="方正仿宋_GBK" w:cs="方正仿宋_GBK"/>
                <w:sz w:val="21"/>
                <w:szCs w:val="21"/>
                <w:lang w:val="en-US" w:eastAsia="zh-CN"/>
              </w:rPr>
              <w:t>优≥9594≥良≥8584≥中≥7574≥合格≥65差≤64</w:t>
            </w:r>
            <w:r>
              <w:rPr>
                <w:rFonts w:hint="eastAsia" w:ascii="方正仿宋_GBK" w:hAnsi="方正仿宋_GBK" w:eastAsia="方正仿宋_GBK" w:cs="方正仿宋_GBK"/>
                <w:sz w:val="21"/>
                <w:szCs w:val="21"/>
                <w:vertAlign w:val="baseline"/>
                <w:lang w:val="en-US" w:eastAsia="zh-CN"/>
              </w:rPr>
              <w:t>请在相应空格处打√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类别</w:t>
            </w:r>
          </w:p>
        </w:tc>
        <w:tc>
          <w:tcPr>
            <w:tcW w:w="4081"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要求</w:t>
            </w:r>
          </w:p>
        </w:tc>
        <w:tc>
          <w:tcPr>
            <w:tcW w:w="61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优</w:t>
            </w:r>
          </w:p>
        </w:tc>
        <w:tc>
          <w:tcPr>
            <w:tcW w:w="55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良</w:t>
            </w:r>
          </w:p>
        </w:tc>
        <w:tc>
          <w:tcPr>
            <w:tcW w:w="58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中</w:t>
            </w:r>
          </w:p>
        </w:tc>
        <w:tc>
          <w:tcPr>
            <w:tcW w:w="52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合格</w:t>
            </w:r>
          </w:p>
        </w:tc>
        <w:tc>
          <w:tcPr>
            <w:tcW w:w="600"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差</w:t>
            </w:r>
          </w:p>
        </w:tc>
        <w:tc>
          <w:tcPr>
            <w:tcW w:w="496"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1.工作态度15%</w:t>
            </w:r>
          </w:p>
        </w:tc>
        <w:tc>
          <w:tcPr>
            <w:tcW w:w="4081" w:type="dxa"/>
            <w:gridSpan w:val="2"/>
          </w:tcPr>
          <w:p>
            <w:pPr>
              <w:jc w:val="both"/>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企业师傅能积极承担设备的维修教师能积极接受承担教学任务和教研任务</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能按时完成任务的分工工作认真负责</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jc w:val="both"/>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对因需要临时的加班做到不抱怨、积极配合</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vAlign w:val="center"/>
          </w:tcPr>
          <w:p>
            <w:pPr>
              <w:tabs>
                <w:tab w:val="left" w:pos="1228"/>
              </w:tabs>
              <w:jc w:val="both"/>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教师、企业师傅的工作成果优异</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2.教学组织管理20%</w:t>
            </w: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能做好学生的安全教育对相关安全知识做到应知应会</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严格遵守与执行教学常规做好课堂的组织工作在教学过程中注重学生安全教育无学生伤亡事故发生</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教学设备及时归还打扫好教学场地和设备的卫生</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注重设备、仪器的维修与保养尽量做到不损坏</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3.教学业务能力50%</w:t>
            </w: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课前准备充分携带教学必备的资料上好每一节课</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教学方法使用合理教学重难点突出语言清晰、逻辑性强</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 xml:space="preserve">上课气氛活跃有吸引力学生学习兴趣浓厚教学效果良好 </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4.科研能力15%</w:t>
            </w:r>
          </w:p>
        </w:tc>
        <w:tc>
          <w:tcPr>
            <w:tcW w:w="4081" w:type="dxa"/>
            <w:gridSpan w:val="2"/>
          </w:tcPr>
          <w:p>
            <w:pPr>
              <w:tabs>
                <w:tab w:val="center" w:pos="1932"/>
              </w:tabs>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能积极承担和接受科研任务重视科研工作</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vAlign w:val="center"/>
          </w:tcPr>
          <w:p>
            <w:pPr>
              <w:tabs>
                <w:tab w:val="left" w:pos="1243"/>
              </w:tabs>
              <w:jc w:val="both"/>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能独立完成科研论文的发表</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06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总分</w:t>
            </w:r>
          </w:p>
        </w:tc>
        <w:tc>
          <w:tcPr>
            <w:tcW w:w="7457" w:type="dxa"/>
            <w:gridSpan w:val="8"/>
          </w:tcPr>
          <w:p>
            <w:pPr>
              <w:outlineLvl w:val="9"/>
              <w:rPr>
                <w:rFonts w:hint="eastAsia" w:ascii="方正仿宋_GBK" w:hAnsi="方正仿宋_GBK" w:eastAsia="方正仿宋_GBK" w:cs="方正仿宋_GBK"/>
                <w:sz w:val="21"/>
                <w:szCs w:val="21"/>
                <w:vertAlign w:val="baseline"/>
                <w:lang w:val="en-US" w:eastAsia="zh-CN"/>
              </w:rPr>
            </w:pPr>
          </w:p>
        </w:tc>
      </w:tr>
    </w:tbl>
    <w:p>
      <w:pPr>
        <w:outlineLvl w:val="9"/>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br w:type="page"/>
      </w:r>
    </w:p>
    <w:p>
      <w:pPr>
        <w:jc w:val="center"/>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1-2实践教学质量评价表（用人单位用）</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260"/>
        <w:gridCol w:w="821"/>
        <w:gridCol w:w="615"/>
        <w:gridCol w:w="555"/>
        <w:gridCol w:w="585"/>
        <w:gridCol w:w="525"/>
        <w:gridCol w:w="600"/>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06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学生</w:t>
            </w:r>
          </w:p>
        </w:tc>
        <w:tc>
          <w:tcPr>
            <w:tcW w:w="3260"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p>
        </w:tc>
        <w:tc>
          <w:tcPr>
            <w:tcW w:w="1436"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班级</w:t>
            </w:r>
          </w:p>
        </w:tc>
        <w:tc>
          <w:tcPr>
            <w:tcW w:w="2761" w:type="dxa"/>
            <w:gridSpan w:val="5"/>
            <w:vAlign w:val="center"/>
          </w:tcPr>
          <w:p>
            <w:pPr>
              <w:jc w:val="cente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06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工种</w:t>
            </w:r>
          </w:p>
        </w:tc>
        <w:tc>
          <w:tcPr>
            <w:tcW w:w="3260"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p>
        </w:tc>
        <w:tc>
          <w:tcPr>
            <w:tcW w:w="1436"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学期</w:t>
            </w:r>
          </w:p>
        </w:tc>
        <w:tc>
          <w:tcPr>
            <w:tcW w:w="2761" w:type="dxa"/>
            <w:gridSpan w:val="5"/>
            <w:vAlign w:val="center"/>
          </w:tcPr>
          <w:p>
            <w:pPr>
              <w:jc w:val="cente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填表说明：</w:t>
            </w:r>
            <w:r>
              <w:rPr>
                <w:rFonts w:hint="eastAsia" w:ascii="方正仿宋_GBK" w:hAnsi="方正仿宋_GBK" w:eastAsia="方正仿宋_GBK" w:cs="方正仿宋_GBK"/>
                <w:sz w:val="21"/>
                <w:szCs w:val="21"/>
                <w:lang w:val="en-US" w:eastAsia="zh-CN"/>
              </w:rPr>
              <w:t>优≥9594≥良≥8584≥中≥7574≥合格≥65差≤64</w:t>
            </w:r>
            <w:r>
              <w:rPr>
                <w:rFonts w:hint="eastAsia" w:ascii="方正仿宋_GBK" w:hAnsi="方正仿宋_GBK" w:eastAsia="方正仿宋_GBK" w:cs="方正仿宋_GBK"/>
                <w:sz w:val="21"/>
                <w:szCs w:val="21"/>
                <w:vertAlign w:val="baseline"/>
                <w:lang w:val="en-US" w:eastAsia="zh-CN"/>
              </w:rPr>
              <w:t>请在相应空格处打√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类别</w:t>
            </w:r>
          </w:p>
        </w:tc>
        <w:tc>
          <w:tcPr>
            <w:tcW w:w="4081"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要求</w:t>
            </w:r>
          </w:p>
        </w:tc>
        <w:tc>
          <w:tcPr>
            <w:tcW w:w="61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优</w:t>
            </w:r>
          </w:p>
        </w:tc>
        <w:tc>
          <w:tcPr>
            <w:tcW w:w="55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良</w:t>
            </w:r>
          </w:p>
        </w:tc>
        <w:tc>
          <w:tcPr>
            <w:tcW w:w="58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中</w:t>
            </w:r>
          </w:p>
        </w:tc>
        <w:tc>
          <w:tcPr>
            <w:tcW w:w="52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合格</w:t>
            </w:r>
          </w:p>
        </w:tc>
        <w:tc>
          <w:tcPr>
            <w:tcW w:w="600"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差</w:t>
            </w:r>
          </w:p>
        </w:tc>
        <w:tc>
          <w:tcPr>
            <w:tcW w:w="496"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1.职业技能40%</w:t>
            </w:r>
          </w:p>
        </w:tc>
        <w:tc>
          <w:tcPr>
            <w:tcW w:w="4081" w:type="dxa"/>
            <w:gridSpan w:val="2"/>
            <w:vAlign w:val="center"/>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能独立完成自己的工作</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vAlign w:val="center"/>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技能等级评定</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tabs>
                <w:tab w:val="left" w:pos="1228"/>
              </w:tabs>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对遇到的疑难问题能主动查找资料寻找解决的办法</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2.组织能力15%</w:t>
            </w: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严格按照企业的相关规定对设备进行维护与检修</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维修过程中注重安全教育对周边人员进行安全提示避免伤亡事故发生</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tabs>
                <w:tab w:val="right" w:pos="3865"/>
              </w:tabs>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组织本小组成员对教学设备进行清扫保持干净、整洁的环境</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3.学生的职业素养40%</w:t>
            </w:r>
          </w:p>
        </w:tc>
        <w:tc>
          <w:tcPr>
            <w:tcW w:w="4081" w:type="dxa"/>
            <w:gridSpan w:val="2"/>
          </w:tcPr>
          <w:p>
            <w:pP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严格遵守企业的规章制度做到不旷工、迟到、早退等现象</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维修工具使用后及时归位清扫工位</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vAlign w:val="center"/>
          </w:tcPr>
          <w:p>
            <w:pPr>
              <w:jc w:val="left"/>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做到人离岗断电</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1065" w:type="dxa"/>
            <w:vMerge w:val="restart"/>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4.工匠精神5%</w:t>
            </w:r>
          </w:p>
        </w:tc>
        <w:tc>
          <w:tcPr>
            <w:tcW w:w="4081" w:type="dxa"/>
            <w:gridSpan w:val="2"/>
          </w:tcPr>
          <w:p>
            <w:pPr>
              <w:tabs>
                <w:tab w:val="center" w:pos="1932"/>
              </w:tabs>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对维修细节按照国家标准进行维修</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65" w:type="dxa"/>
            <w:vMerge w:val="continue"/>
          </w:tcPr>
          <w:p>
            <w:pPr>
              <w:outlineLvl w:val="9"/>
              <w:rPr>
                <w:rFonts w:hint="eastAsia" w:ascii="方正仿宋_GBK" w:hAnsi="方正仿宋_GBK" w:eastAsia="方正仿宋_GBK" w:cs="方正仿宋_GBK"/>
                <w:sz w:val="21"/>
                <w:szCs w:val="21"/>
                <w:vertAlign w:val="baseline"/>
                <w:lang w:val="en-US" w:eastAsia="zh-CN"/>
              </w:rPr>
            </w:pPr>
          </w:p>
        </w:tc>
        <w:tc>
          <w:tcPr>
            <w:tcW w:w="4081" w:type="dxa"/>
            <w:gridSpan w:val="2"/>
          </w:tcPr>
          <w:p>
            <w:pPr>
              <w:tabs>
                <w:tab w:val="left" w:pos="1243"/>
              </w:tabs>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凡事做到细致、耐心将简单的操作严格按规定完成</w:t>
            </w:r>
          </w:p>
        </w:tc>
        <w:tc>
          <w:tcPr>
            <w:tcW w:w="615" w:type="dxa"/>
          </w:tcPr>
          <w:p>
            <w:pPr>
              <w:outlineLvl w:val="9"/>
              <w:rPr>
                <w:rFonts w:hint="eastAsia" w:ascii="方正仿宋_GBK" w:hAnsi="方正仿宋_GBK" w:eastAsia="方正仿宋_GBK" w:cs="方正仿宋_GBK"/>
                <w:sz w:val="21"/>
                <w:szCs w:val="21"/>
                <w:vertAlign w:val="baseline"/>
                <w:lang w:val="en-US" w:eastAsia="zh-CN"/>
              </w:rPr>
            </w:pPr>
          </w:p>
        </w:tc>
        <w:tc>
          <w:tcPr>
            <w:tcW w:w="555" w:type="dxa"/>
          </w:tcPr>
          <w:p>
            <w:pPr>
              <w:outlineLvl w:val="9"/>
              <w:rPr>
                <w:rFonts w:hint="eastAsia" w:ascii="方正仿宋_GBK" w:hAnsi="方正仿宋_GBK" w:eastAsia="方正仿宋_GBK" w:cs="方正仿宋_GBK"/>
                <w:sz w:val="21"/>
                <w:szCs w:val="21"/>
                <w:vertAlign w:val="baseline"/>
                <w:lang w:val="en-US" w:eastAsia="zh-CN"/>
              </w:rPr>
            </w:pPr>
          </w:p>
        </w:tc>
        <w:tc>
          <w:tcPr>
            <w:tcW w:w="585" w:type="dxa"/>
          </w:tcPr>
          <w:p>
            <w:pPr>
              <w:outlineLvl w:val="9"/>
              <w:rPr>
                <w:rFonts w:hint="eastAsia" w:ascii="方正仿宋_GBK" w:hAnsi="方正仿宋_GBK" w:eastAsia="方正仿宋_GBK" w:cs="方正仿宋_GBK"/>
                <w:sz w:val="21"/>
                <w:szCs w:val="21"/>
                <w:vertAlign w:val="baseline"/>
                <w:lang w:val="en-US" w:eastAsia="zh-CN"/>
              </w:rPr>
            </w:pPr>
          </w:p>
        </w:tc>
        <w:tc>
          <w:tcPr>
            <w:tcW w:w="525" w:type="dxa"/>
          </w:tcPr>
          <w:p>
            <w:pPr>
              <w:outlineLvl w:val="9"/>
              <w:rPr>
                <w:rFonts w:hint="eastAsia" w:ascii="方正仿宋_GBK" w:hAnsi="方正仿宋_GBK" w:eastAsia="方正仿宋_GBK" w:cs="方正仿宋_GBK"/>
                <w:sz w:val="21"/>
                <w:szCs w:val="21"/>
                <w:vertAlign w:val="baseline"/>
                <w:lang w:val="en-US" w:eastAsia="zh-CN"/>
              </w:rPr>
            </w:pPr>
          </w:p>
        </w:tc>
        <w:tc>
          <w:tcPr>
            <w:tcW w:w="600" w:type="dxa"/>
          </w:tcPr>
          <w:p>
            <w:pPr>
              <w:outlineLvl w:val="9"/>
              <w:rPr>
                <w:rFonts w:hint="eastAsia" w:ascii="方正仿宋_GBK" w:hAnsi="方正仿宋_GBK" w:eastAsia="方正仿宋_GBK" w:cs="方正仿宋_GBK"/>
                <w:sz w:val="21"/>
                <w:szCs w:val="21"/>
                <w:vertAlign w:val="baseline"/>
                <w:lang w:val="en-US" w:eastAsia="zh-CN"/>
              </w:rPr>
            </w:pPr>
          </w:p>
        </w:tc>
        <w:tc>
          <w:tcPr>
            <w:tcW w:w="496" w:type="dxa"/>
          </w:tcPr>
          <w:p>
            <w:pPr>
              <w:outlineLvl w:val="9"/>
              <w:rPr>
                <w:rFonts w:hint="eastAsia" w:ascii="方正仿宋_GBK" w:hAnsi="方正仿宋_GBK" w:eastAsia="方正仿宋_GBK" w:cs="方正仿宋_GBK"/>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065" w:type="dxa"/>
            <w:vAlign w:val="center"/>
          </w:tcPr>
          <w:p>
            <w:pPr>
              <w:jc w:val="center"/>
              <w:outlineLvl w:val="9"/>
              <w:rPr>
                <w:rFonts w:hint="eastAsia" w:ascii="方正仿宋_GBK" w:hAnsi="方正仿宋_GBK" w:eastAsia="方正仿宋_GBK" w:cs="方正仿宋_GBK"/>
                <w:sz w:val="21"/>
                <w:szCs w:val="21"/>
                <w:vertAlign w:val="baseline"/>
                <w:lang w:val="en-US" w:eastAsia="zh-CN"/>
              </w:rPr>
            </w:pPr>
            <w:r>
              <w:rPr>
                <w:rFonts w:hint="eastAsia" w:ascii="方正仿宋_GBK" w:hAnsi="方正仿宋_GBK" w:eastAsia="方正仿宋_GBK" w:cs="方正仿宋_GBK"/>
                <w:sz w:val="21"/>
                <w:szCs w:val="21"/>
                <w:vertAlign w:val="baseline"/>
                <w:lang w:val="en-US" w:eastAsia="zh-CN"/>
              </w:rPr>
              <w:t>总分</w:t>
            </w:r>
          </w:p>
        </w:tc>
        <w:tc>
          <w:tcPr>
            <w:tcW w:w="7457" w:type="dxa"/>
            <w:gridSpan w:val="8"/>
          </w:tcPr>
          <w:p>
            <w:pPr>
              <w:outlineLvl w:val="9"/>
              <w:rPr>
                <w:rFonts w:hint="eastAsia" w:ascii="方正仿宋_GBK" w:hAnsi="方正仿宋_GBK" w:eastAsia="方正仿宋_GBK" w:cs="方正仿宋_GBK"/>
                <w:sz w:val="21"/>
                <w:szCs w:val="21"/>
                <w:vertAlign w:val="baseline"/>
                <w:lang w:val="en-US" w:eastAsia="zh-CN"/>
              </w:rPr>
            </w:pPr>
          </w:p>
        </w:tc>
      </w:tr>
    </w:tbl>
    <w:p>
      <w:pPr>
        <w:pStyle w:val="5"/>
        <w:outlineLvl w:val="9"/>
        <w:rPr>
          <w:rFonts w:hint="eastAsia" w:ascii="方正仿宋_GBK" w:hAnsi="方正仿宋_GBK" w:eastAsia="方正仿宋_GBK" w:cs="方正仿宋_GBK"/>
          <w:b/>
          <w:bCs/>
          <w:sz w:val="28"/>
          <w:szCs w:val="28"/>
          <w:lang w:eastAsia="zh-CN"/>
        </w:rPr>
      </w:pPr>
    </w:p>
    <w:p>
      <w:pPr>
        <w:pStyle w:val="5"/>
        <w:outlineLvl w:val="9"/>
        <w:rPr>
          <w:rFonts w:hint="eastAsia" w:ascii="方正仿宋_GBK" w:hAnsi="方正仿宋_GBK" w:eastAsia="方正仿宋_GBK" w:cs="方正仿宋_GBK"/>
          <w:b/>
          <w:bCs/>
          <w:sz w:val="28"/>
          <w:szCs w:val="28"/>
          <w:lang w:eastAsia="zh-CN"/>
        </w:rPr>
      </w:pPr>
    </w:p>
    <w:p>
      <w:pPr>
        <w:pStyle w:val="5"/>
        <w:outlineLvl w:val="9"/>
        <w:rPr>
          <w:rFonts w:hint="eastAsia" w:ascii="方正仿宋_GBK" w:hAnsi="方正仿宋_GBK" w:eastAsia="方正仿宋_GBK" w:cs="方正仿宋_GBK"/>
          <w:b/>
          <w:bCs/>
          <w:sz w:val="28"/>
          <w:szCs w:val="28"/>
          <w:lang w:eastAsia="zh-CN"/>
        </w:rPr>
      </w:pPr>
    </w:p>
    <w:p>
      <w:pPr>
        <w:pStyle w:val="5"/>
        <w:outlineLvl w:val="9"/>
        <w:rPr>
          <w:rFonts w:hint="eastAsia" w:ascii="方正仿宋_GBK" w:hAnsi="方正仿宋_GBK" w:eastAsia="方正仿宋_GBK" w:cs="方正仿宋_GBK"/>
          <w:b/>
          <w:bCs/>
          <w:sz w:val="28"/>
          <w:szCs w:val="28"/>
          <w:lang w:eastAsia="zh-CN"/>
        </w:rPr>
      </w:pPr>
    </w:p>
    <w:p>
      <w:pPr>
        <w:pStyle w:val="5"/>
        <w:outlineLvl w:val="9"/>
        <w:rPr>
          <w:rFonts w:hint="eastAsia" w:ascii="方正仿宋_GBK" w:hAnsi="方正仿宋_GBK" w:eastAsia="方正仿宋_GBK" w:cs="方正仿宋_GBK"/>
          <w:b/>
          <w:bCs/>
          <w:sz w:val="28"/>
          <w:szCs w:val="28"/>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00" w:lineRule="exact"/>
        <w:jc w:val="left"/>
        <w:textAlignment w:val="auto"/>
        <w:outlineLvl w:val="0"/>
        <w:rPr>
          <w:rFonts w:hint="default" w:ascii="方正黑体_GBK" w:hAnsi="方正黑体_GBK" w:eastAsia="方正黑体_GBK" w:cs="方正黑体_GBK"/>
          <w:b w:val="0"/>
          <w:bCs w:val="0"/>
          <w:kern w:val="0"/>
          <w:sz w:val="32"/>
          <w:szCs w:val="32"/>
          <w:lang w:val="en-US" w:eastAsia="zh-CN" w:bidi="ar"/>
        </w:rPr>
      </w:pPr>
      <w:bookmarkStart w:id="4" w:name="_Toc18771"/>
      <w:r>
        <w:rPr>
          <w:rFonts w:hint="eastAsia" w:ascii="方正黑体_GBK" w:hAnsi="方正黑体_GBK" w:eastAsia="方正黑体_GBK" w:cs="方正黑体_GBK"/>
          <w:b w:val="0"/>
          <w:bCs w:val="0"/>
          <w:kern w:val="0"/>
          <w:sz w:val="32"/>
          <w:szCs w:val="32"/>
          <w:lang w:val="en-US" w:eastAsia="zh-CN" w:bidi="ar"/>
        </w:rPr>
        <w:t>电子技术应用专业教学工作质量标准</w:t>
      </w:r>
      <w:bookmarkEnd w:id="4"/>
    </w:p>
    <w:p>
      <w:pPr>
        <w:keepNext w:val="0"/>
        <w:keepLines w:val="0"/>
        <w:pageBreakBefore w:val="0"/>
        <w:widowControl/>
        <w:kinsoku/>
        <w:wordWrap/>
        <w:overflowPunct/>
        <w:topLinePunct w:val="0"/>
        <w:autoSpaceDE/>
        <w:autoSpaceDN/>
        <w:bidi w:val="0"/>
        <w:adjustRightInd/>
        <w:snapToGrid/>
        <w:spacing w:line="500" w:lineRule="exact"/>
        <w:ind w:left="0" w:firstLine="880" w:firstLineChars="200"/>
        <w:jc w:val="center"/>
        <w:textAlignment w:val="auto"/>
        <w:outlineLvl w:val="9"/>
        <w:rPr>
          <w:rFonts w:hint="eastAsia" w:ascii="方正小标宋_GBK" w:hAnsi="方正小标宋_GBK" w:eastAsia="方正小标宋_GBK" w:cs="方正小标宋_GBK"/>
          <w:color w:val="333949"/>
          <w:sz w:val="44"/>
          <w:szCs w:val="44"/>
          <w:lang w:val="zh-CN"/>
        </w:rPr>
      </w:pPr>
    </w:p>
    <w:p>
      <w:pPr>
        <w:keepNext w:val="0"/>
        <w:keepLines w:val="0"/>
        <w:pageBreakBefore w:val="0"/>
        <w:widowControl/>
        <w:kinsoku/>
        <w:wordWrap/>
        <w:overflowPunct/>
        <w:topLinePunct w:val="0"/>
        <w:autoSpaceDE/>
        <w:autoSpaceDN/>
        <w:bidi w:val="0"/>
        <w:adjustRightInd/>
        <w:snapToGrid/>
        <w:spacing w:line="600" w:lineRule="exact"/>
        <w:ind w:left="0" w:firstLine="0" w:firstLineChars="0"/>
        <w:jc w:val="center"/>
        <w:textAlignment w:val="auto"/>
        <w:outlineLvl w:val="9"/>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重庆市南川隆化职业中学校</w:t>
      </w:r>
    </w:p>
    <w:p>
      <w:pPr>
        <w:keepNext w:val="0"/>
        <w:keepLines w:val="0"/>
        <w:pageBreakBefore w:val="0"/>
        <w:widowControl/>
        <w:kinsoku/>
        <w:wordWrap/>
        <w:overflowPunct/>
        <w:topLinePunct w:val="0"/>
        <w:autoSpaceDE/>
        <w:autoSpaceDN/>
        <w:bidi w:val="0"/>
        <w:adjustRightInd/>
        <w:snapToGrid/>
        <w:spacing w:line="600" w:lineRule="exact"/>
        <w:ind w:left="0" w:firstLine="0" w:firstLineChars="0"/>
        <w:jc w:val="center"/>
        <w:textAlignment w:val="auto"/>
        <w:outlineLvl w:val="9"/>
        <w:rPr>
          <w:rFonts w:hint="eastAsia" w:ascii="方正小标宋_GBK" w:hAnsi="方正小标宋_GBK" w:eastAsia="方正小标宋_GBK" w:cs="方正小标宋_GBK"/>
          <w:color w:val="auto"/>
          <w:sz w:val="44"/>
          <w:szCs w:val="44"/>
          <w:lang w:val="zh-CN"/>
        </w:rPr>
      </w:pPr>
      <w:r>
        <w:rPr>
          <w:rFonts w:hint="eastAsia" w:ascii="方正小标宋_GBK" w:hAnsi="方正小标宋_GBK" w:eastAsia="方正小标宋_GBK" w:cs="方正小标宋_GBK"/>
          <w:color w:val="auto"/>
          <w:sz w:val="44"/>
          <w:szCs w:val="44"/>
          <w:lang w:val="zh-CN"/>
        </w:rPr>
        <w:t>教学工作质量标准</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left"/>
        <w:textAlignment w:val="auto"/>
        <w:outlineLvl w:val="9"/>
        <w:rPr>
          <w:rFonts w:hint="eastAsia" w:ascii="方正黑体_GBK" w:hAnsi="方正黑体_GBK" w:eastAsia="方正黑体_GBK" w:cs="方正黑体_GBK"/>
          <w:b w:val="0"/>
          <w:bCs w:val="0"/>
          <w:kern w:val="0"/>
          <w:sz w:val="32"/>
          <w:szCs w:val="32"/>
          <w:lang w:val="zh-CN" w:eastAsia="zh-CN" w:bidi="ar"/>
        </w:rPr>
      </w:pPr>
      <w:r>
        <w:rPr>
          <w:rFonts w:hint="eastAsia" w:ascii="方正黑体_GBK" w:hAnsi="方正黑体_GBK" w:eastAsia="方正黑体_GBK" w:cs="方正黑体_GBK"/>
          <w:b w:val="0"/>
          <w:bCs w:val="0"/>
          <w:kern w:val="0"/>
          <w:sz w:val="32"/>
          <w:szCs w:val="32"/>
          <w:lang w:val="en-US" w:eastAsia="zh-CN" w:bidi="ar"/>
        </w:rPr>
        <w:t>一、</w:t>
      </w:r>
      <w:r>
        <w:rPr>
          <w:rFonts w:hint="eastAsia" w:ascii="方正黑体_GBK" w:hAnsi="方正黑体_GBK" w:eastAsia="方正黑体_GBK" w:cs="方正黑体_GBK"/>
          <w:b w:val="0"/>
          <w:bCs w:val="0"/>
          <w:kern w:val="0"/>
          <w:sz w:val="32"/>
          <w:szCs w:val="32"/>
          <w:lang w:val="zh-CN" w:eastAsia="zh-CN" w:bidi="ar"/>
        </w:rPr>
        <w:t>教学计划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1.审定教学计划要注重学生知识、能力、素质的协调发展体现时代发展的特征反映当前中职教育的发展趋势体现我校特色。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color w:val="333949"/>
          <w:sz w:val="32"/>
          <w:szCs w:val="32"/>
          <w:lang w:val="zh-CN"/>
        </w:rPr>
      </w:pP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lang w:val="zh-CN" w:eastAsia="zh-CN"/>
        </w:rPr>
        <w:t>对审订教学计划的具体要求：在审查教学计划基础上提出我校适用于学生的教学计划严格按照教务科要求控制总学时和总学分一年级以开设公共平台课为主学科基础课按专业大类统一开设统一学时、要求课程可由相关院系共间承担课程归口要科学合理坚决杜绝因人设课同一专业的专业方向不得超过3个增加基础强化训练和能力拓展训练《公益劳动》、《社会调查》统一归置到课外培养计划模块中。</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left"/>
        <w:textAlignment w:val="auto"/>
        <w:outlineLvl w:val="9"/>
        <w:rPr>
          <w:rFonts w:hint="eastAsia" w:ascii="方正黑体_GBK" w:hAnsi="方正黑体_GBK" w:eastAsia="方正黑体_GBK" w:cs="方正黑体_GBK"/>
          <w:b w:val="0"/>
          <w:bCs w:val="0"/>
          <w:kern w:val="0"/>
          <w:sz w:val="32"/>
          <w:szCs w:val="32"/>
          <w:lang w:val="zh-CN" w:eastAsia="zh-CN" w:bidi="ar"/>
        </w:rPr>
      </w:pPr>
      <w:r>
        <w:rPr>
          <w:rFonts w:hint="eastAsia" w:ascii="方正黑体_GBK" w:hAnsi="方正黑体_GBK" w:eastAsia="方正黑体_GBK" w:cs="方正黑体_GBK"/>
          <w:b w:val="0"/>
          <w:bCs w:val="0"/>
          <w:kern w:val="0"/>
          <w:sz w:val="32"/>
          <w:szCs w:val="32"/>
          <w:lang w:val="en-US" w:eastAsia="zh-CN" w:bidi="ar"/>
        </w:rPr>
        <w:t>二、</w:t>
      </w:r>
      <w:r>
        <w:rPr>
          <w:rFonts w:hint="eastAsia" w:ascii="方正黑体_GBK" w:hAnsi="方正黑体_GBK" w:eastAsia="方正黑体_GBK" w:cs="方正黑体_GBK"/>
          <w:b w:val="0"/>
          <w:bCs w:val="0"/>
          <w:kern w:val="0"/>
          <w:sz w:val="32"/>
          <w:szCs w:val="32"/>
          <w:lang w:val="zh-CN" w:eastAsia="zh-CN" w:bidi="ar"/>
        </w:rPr>
        <w:t>教学大纲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为了适应新的教学计划要求,有效地组织教学,学校决定对新教学计划中的所有理论、实践课程进行教学大纲的全面修订,并提出如下原则意见。</w:t>
      </w:r>
    </w:p>
    <w:p>
      <w:pPr>
        <w:keepNext w:val="0"/>
        <w:keepLines w:val="0"/>
        <w:pageBreakBefore w:val="0"/>
        <w:widowControl/>
        <w:numPr>
          <w:numId w:val="0"/>
        </w:numPr>
        <w:kinsoku/>
        <w:wordWrap/>
        <w:overflowPunct/>
        <w:topLinePunct w:val="0"/>
        <w:autoSpaceDE/>
        <w:autoSpaceDN/>
        <w:bidi w:val="0"/>
        <w:adjustRightInd/>
        <w:snapToGrid/>
        <w:spacing w:line="500" w:lineRule="exact"/>
        <w:ind w:leftChars="200"/>
        <w:jc w:val="left"/>
        <w:textAlignment w:val="auto"/>
        <w:outlineLvl w:val="9"/>
        <w:rPr>
          <w:rFonts w:hint="eastAsia" w:ascii="方正楷体_GBK" w:hAnsi="方正楷体_GBK" w:eastAsia="方正楷体_GBK" w:cs="方正楷体_GBK"/>
          <w:color w:val="333949"/>
          <w:sz w:val="32"/>
          <w:szCs w:val="32"/>
          <w:lang w:val="zh-CN"/>
        </w:rPr>
      </w:pPr>
      <w:r>
        <w:rPr>
          <w:rFonts w:hint="eastAsia" w:ascii="方正楷体_GBK" w:hAnsi="方正楷体_GBK" w:eastAsia="方正楷体_GBK" w:cs="方正楷体_GBK"/>
          <w:color w:val="333949"/>
          <w:sz w:val="32"/>
          <w:szCs w:val="32"/>
          <w:lang w:val="zh-CN"/>
        </w:rPr>
        <w:t>（</w:t>
      </w:r>
      <w:r>
        <w:rPr>
          <w:rFonts w:hint="eastAsia" w:ascii="方正楷体_GBK" w:hAnsi="方正楷体_GBK" w:eastAsia="方正楷体_GBK" w:cs="方正楷体_GBK"/>
          <w:color w:val="333949"/>
          <w:sz w:val="32"/>
          <w:szCs w:val="32"/>
          <w:lang w:val="en-US" w:eastAsia="zh-CN"/>
        </w:rPr>
        <w:t>一</w:t>
      </w:r>
      <w:r>
        <w:rPr>
          <w:rFonts w:hint="eastAsia" w:ascii="方正楷体_GBK" w:hAnsi="方正楷体_GBK" w:eastAsia="方正楷体_GBK" w:cs="方正楷体_GBK"/>
          <w:color w:val="333949"/>
          <w:sz w:val="32"/>
          <w:szCs w:val="32"/>
          <w:lang w:val="zh-CN"/>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1.教学大纲是一门课程的重要教学指导文件,是教师组织教学、进行课程建设、开展教学评价的重要依据。有了统一的教学大纲,教学工作就有了基本的要求和规范,教学过程才能得以有机运行和保证内在质量。因此,教学大纲的修订是一项非常重要的工作,各单位应对此高度重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 xml:space="preserve"> 2.教学大纲要努力贯彻课程创精品的指导思想体现改革精神符合培养目标要求服从课程结构及教学安排的整体需要从教学计划的整体优化中明确每门课程在培养目标中的相应地位和作用防止单纯追求局部体系的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3.注重知识、能力、素质协调发展突出创新意识的培养。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4.修订教学大纲要认真总结我校长期以来所积系的教学经验特别是要固化近年来教学改革所取得的成果并结合我校的实际坚持科学性、思想性与实践性相结合的原则。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5.公共课和基础课可参照国家提出的课程教学基本要求结合我校实际进行修订国家没有统一要求的课程均按我校教学计划的培养要求进行修订。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6.为进一步贯彻教育部文件精神,推进双语教学计划,每-门课程应向学生提供100个外语专业词汇,并推荐至少一本外文参考书（资料）。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7.为落实课程创精品的指导思想,体现课程特色,鼓励开设多媒体教学思路、外语教学课程、外语教材课程、双语教学课程、自学与讨论课程、自学与讲座课程、研究型课程、实践型课程、创业训练课程、创作训练课程、工程设计课程、网络教学课程、综合实验课程、虚拟实验（习）课程等,积极引进优秀外文原版教材和先进的教学方法、手段,改革现有的考核方式和办法。</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left"/>
        <w:textAlignment w:val="auto"/>
        <w:outlineLvl w:val="9"/>
        <w:rPr>
          <w:rFonts w:hint="eastAsia" w:ascii="方正楷体_GBK" w:hAnsi="方正楷体_GBK" w:eastAsia="方正楷体_GBK" w:cs="方正楷体_GBK"/>
          <w:color w:val="333949"/>
          <w:sz w:val="32"/>
          <w:szCs w:val="32"/>
          <w:lang w:val="zh-CN"/>
        </w:rPr>
      </w:pPr>
      <w:r>
        <w:rPr>
          <w:rFonts w:hint="eastAsia" w:ascii="方正楷体_GBK" w:hAnsi="方正楷体_GBK" w:eastAsia="方正楷体_GBK" w:cs="方正楷体_GBK"/>
          <w:color w:val="333949"/>
          <w:sz w:val="32"/>
          <w:szCs w:val="32"/>
          <w:lang w:val="zh-CN"/>
        </w:rPr>
        <w:t xml:space="preserve"> （二）具体要求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1.范围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教学大纲所针对的对象包括各理论课程（必修课程、专业选修课程、全校性公共选修课程等）、实验和各单独设立的实践环节（如毕业设计、实习、课程设计等等）。含有实验内容的课程,应在课程教学大纲中单独列出实验大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2.内容教学大纲的内容应包括本课程教育目标、教学内容基本要求、课程特色、实践性教学环节要求,学时分配及必要的说明等。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3.程序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（1）各系（教研室）针对本次教学大纲修订召开专题工作会议,组织教师进行充分的讨论。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（2）由系（教研室）主任在组织教师认真讨论的基础上将修订大纲任务落实以课程负责人或主讲教师（副高以上）。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（3）系（教研室）主任负黄大纲初務审阅各院（系、部、中心）主管本科教学的院长（主任）负资本单位所有课程教学大纲的审核。</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600" w:lineRule="exact"/>
        <w:ind w:firstLine="640" w:firstLineChars="200"/>
        <w:jc w:val="left"/>
        <w:textAlignment w:val="auto"/>
        <w:outlineLvl w:val="9"/>
        <w:rPr>
          <w:rFonts w:hint="eastAsia" w:ascii="方正黑体_GBK" w:hAnsi="方正黑体_GBK" w:eastAsia="方正黑体_GBK" w:cs="方正黑体_GBK"/>
          <w:b w:val="0"/>
          <w:bCs w:val="0"/>
          <w:kern w:val="0"/>
          <w:sz w:val="32"/>
          <w:szCs w:val="32"/>
          <w:lang w:val="zh-CN" w:eastAsia="zh-CN" w:bidi="ar"/>
        </w:rPr>
      </w:pPr>
      <w:r>
        <w:rPr>
          <w:rFonts w:hint="eastAsia" w:ascii="方正黑体_GBK" w:hAnsi="方正黑体_GBK" w:eastAsia="方正黑体_GBK" w:cs="方正黑体_GBK"/>
          <w:b w:val="0"/>
          <w:bCs w:val="0"/>
          <w:kern w:val="0"/>
          <w:sz w:val="32"/>
          <w:szCs w:val="32"/>
          <w:lang w:val="zh-CN" w:eastAsia="zh-CN" w:bidi="ar"/>
        </w:rPr>
        <w:t>三、理论教学</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left"/>
        <w:textAlignment w:val="auto"/>
        <w:outlineLvl w:val="9"/>
        <w:rPr>
          <w:rFonts w:hint="eastAsia" w:ascii="方正楷体_GBK" w:hAnsi="方正楷体_GBK" w:eastAsia="方正楷体_GBK" w:cs="方正楷体_GBK"/>
          <w:color w:val="333949"/>
          <w:sz w:val="32"/>
          <w:szCs w:val="32"/>
          <w:lang w:val="zh-CN"/>
        </w:rPr>
      </w:pPr>
      <w:r>
        <w:rPr>
          <w:rFonts w:hint="eastAsia" w:ascii="方正楷体_GBK" w:hAnsi="方正楷体_GBK" w:eastAsia="方正楷体_GBK" w:cs="方正楷体_GBK"/>
          <w:color w:val="333949"/>
          <w:sz w:val="32"/>
          <w:szCs w:val="32"/>
          <w:lang w:val="zh-CN"/>
        </w:rPr>
        <w:t>（一）备课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含课包括教学前的一系列准备工作是教学环节中重要的一环任课教师必须认真对待。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1.每门课程均需按大纲的要求慎重选择或编写统一的教材（教科书、讲义或参者书）。提出书目经教研室讨论后报产业系主任核准并按规定适时地报教材科预定或印刷。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2.任课教师要根据数学大纲合理精选内容制订好教学日历。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教学日历经教研组长审批后执行任课教师和学生班级各一份并送教务科和任课教师所在院（系）教学办公室各一份备查。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3.教师上课前必须按照教学日历的进度和教学大纲的要求认真备课并写好教案。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4.如需要,教师上课前应做好（或指导实验人员做好）模型教具及演示试验等准备工作。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5.任课教师要了解学生的学习基础,处理好本课程与先修课和后续课之间的衔接。</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left"/>
        <w:textAlignment w:val="auto"/>
        <w:outlineLvl w:val="9"/>
        <w:rPr>
          <w:rFonts w:hint="eastAsia" w:ascii="方正楷体_GBK" w:hAnsi="方正楷体_GBK" w:eastAsia="方正楷体_GBK" w:cs="方正楷体_GBK"/>
          <w:color w:val="333949"/>
          <w:sz w:val="32"/>
          <w:szCs w:val="32"/>
          <w:lang w:val="zh-CN"/>
        </w:rPr>
      </w:pPr>
      <w:r>
        <w:rPr>
          <w:rFonts w:hint="eastAsia" w:ascii="方正楷体_GBK" w:hAnsi="方正楷体_GBK" w:eastAsia="方正楷体_GBK" w:cs="方正楷体_GBK"/>
          <w:color w:val="333949"/>
          <w:sz w:val="32"/>
          <w:szCs w:val="32"/>
          <w:lang w:val="zh-CN"/>
        </w:rPr>
        <w:t>（二）课堂讲授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课堂讲授是教师向学生传授知识、开发智能的重要方式,是教学过程中的重要环节。任课教师要努力提高讲课质量,注重讲课效果。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课堂讲授应努力做到以下几点: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1.按照教学大纲的要求,根据教学日历的安排实施讲授,要注重课程的基本内容,把握课程结构层次和重点难点,在此基础上,注重扩展更新教学内容,适时介绍本学科的最新研究动态。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2.掌握学生特点、讲究教学方法。应根据课程特点多采用启发式、讨论式、探究式等教学方法重视对学生进行学习方法的指导力戒平铺直叙、照本宣科。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3.教师的语言素养很大程度上影响着学生的听课效率所以教师的课堂用语要使用普通话力求做到准确、简练、条理清楚。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4.课堂讲授必须要板书工整、布置得当。积极采用现代数学方法和教学手段使直观教学与抽象思维相结合提高授课信息量改进课堂效果。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5.教师上课须衣容整洁大方。不迟到、不拖堂、不提前下课。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6.教师要严格要求学生遵守课堂纪律。</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leftChars="200"/>
        <w:jc w:val="left"/>
        <w:textAlignment w:val="auto"/>
        <w:outlineLvl w:val="9"/>
        <w:rPr>
          <w:rFonts w:hint="eastAsia" w:ascii="方正楷体_GBK" w:hAnsi="方正楷体_GBK" w:eastAsia="方正楷体_GBK" w:cs="方正楷体_GBK"/>
          <w:color w:val="333949"/>
          <w:sz w:val="32"/>
          <w:szCs w:val="32"/>
          <w:lang w:val="zh-CN"/>
        </w:rPr>
      </w:pPr>
      <w:r>
        <w:rPr>
          <w:rFonts w:hint="eastAsia" w:ascii="方正楷体_GBK" w:hAnsi="方正楷体_GBK" w:eastAsia="方正楷体_GBK" w:cs="方正楷体_GBK"/>
          <w:color w:val="333949"/>
          <w:sz w:val="32"/>
          <w:szCs w:val="32"/>
          <w:lang w:val="zh-CN"/>
        </w:rPr>
        <w:t>（三）习题课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习题课的目的在于帮助学生巩固和加深理解课堂的基本理论和基本概念;提高运算能力和解题技巧;训练学生运用所学理论解决实际问题的能力;了解教与学的情况;指导学生自学。它是一种实验性教学环节,在教学过程中对学生智能培养起重要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1.习题课的教学任务一般由主讲教师承担,以使教学具有连续性,辅导教师也可以承担部分或全部习题课的教学任务,主讲教师要向辅导教师提出习题课的具体要求和选题原则。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3.担任习题课的教师要按要求做好充分准备,写好教案。新教师要试讲。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4.习题课的题目要精选,应选择易暴露模糊概念、易出现解题错误、易引起争论、能开阔思路、加深理解且带有综合性的多种类型的题目。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z w:val="32"/>
          <w:szCs w:val="32"/>
          <w:lang w:val="zh-CN" w:eastAsia="zh-CN"/>
        </w:rPr>
      </w:pPr>
      <w:r>
        <w:rPr>
          <w:rFonts w:hint="eastAsia" w:ascii="方正仿宋_GBK" w:hAnsi="方正仿宋_GBK" w:eastAsia="方正仿宋_GBK" w:cs="方正仿宋_GBK"/>
          <w:b w:val="0"/>
          <w:bCs w:val="0"/>
          <w:sz w:val="32"/>
          <w:szCs w:val="32"/>
          <w:lang w:val="zh-CN" w:eastAsia="zh-CN"/>
        </w:rPr>
        <w:t>5.讲习题课时教师主要起诱导、启发和教给学生解题思路的作用给学生一定的独立活动时间培养学生独立钻研的将神。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pPr>
      <w:r>
        <w:rPr>
          <w:rFonts w:hint="eastAsia" w:ascii="方正仿宋_GBK" w:hAnsi="方正仿宋_GBK" w:eastAsia="方正仿宋_GBK" w:cs="方正仿宋_GBK"/>
          <w:b w:val="0"/>
          <w:bCs w:val="0"/>
          <w:sz w:val="32"/>
          <w:szCs w:val="32"/>
          <w:lang w:val="zh-CN" w:eastAsia="zh-CN"/>
        </w:rPr>
        <w:t>6.在可能的情况下习题课一般宜小班上课。</w:t>
      </w:r>
    </w:p>
    <w:sectPr>
      <w:pgSz w:w="11906" w:h="16838"/>
      <w:pgMar w:top="2098"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9E053F-3BFD-42FE-BF6A-04B5B15FAE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9A93772-BBBD-4E55-B0E6-79480A493A31}"/>
  </w:font>
  <w:font w:name="方正仿宋_GBK">
    <w:panose1 w:val="03000509000000000000"/>
    <w:charset w:val="86"/>
    <w:family w:val="script"/>
    <w:pitch w:val="default"/>
    <w:sig w:usb0="00000001" w:usb1="080E0000" w:usb2="00000000" w:usb3="00000000" w:csb0="00040000" w:csb1="00000000"/>
    <w:embedRegular r:id="rId3" w:fontKey="{196A1F97-9E65-4103-B28C-2DAFBEC47AD0}"/>
  </w:font>
  <w:font w:name="方正黑体_GBK">
    <w:panose1 w:val="03000509000000000000"/>
    <w:charset w:val="86"/>
    <w:family w:val="auto"/>
    <w:pitch w:val="default"/>
    <w:sig w:usb0="00000001" w:usb1="080E0000" w:usb2="00000000" w:usb3="00000000" w:csb0="00040000" w:csb1="00000000"/>
    <w:embedRegular r:id="rId4" w:fontKey="{19E7F0B6-6092-43E8-A338-25A99601BD3F}"/>
  </w:font>
  <w:font w:name="方正小标宋_GBK">
    <w:panose1 w:val="03000509000000000000"/>
    <w:charset w:val="86"/>
    <w:family w:val="auto"/>
    <w:pitch w:val="default"/>
    <w:sig w:usb0="00000001" w:usb1="080E0000" w:usb2="00000000" w:usb3="00000000" w:csb0="00040000" w:csb1="00000000"/>
    <w:embedRegular r:id="rId5" w:fontKey="{09742754-AA30-4133-8EC5-AAF0270A6E0A}"/>
  </w:font>
  <w:font w:name="方正楷体_GBK">
    <w:panose1 w:val="03000509000000000000"/>
    <w:charset w:val="86"/>
    <w:family w:val="auto"/>
    <w:pitch w:val="default"/>
    <w:sig w:usb0="00000001" w:usb1="080E0000" w:usb2="00000000" w:usb3="00000000" w:csb0="00040000" w:csb1="00000000"/>
    <w:embedRegular r:id="rId6" w:fontKey="{C9AFA52C-83CC-4FC2-A660-501333405F9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767BE9"/>
    <w:multiLevelType w:val="singleLevel"/>
    <w:tmpl w:val="BB767B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YjliYmFkMDIzNzE5Y2IwNmM1N2Q4YzQxMTkyZGMifQ=="/>
  </w:docVars>
  <w:rsids>
    <w:rsidRoot w:val="00000000"/>
    <w:rsid w:val="079F6F8B"/>
    <w:rsid w:val="25063028"/>
    <w:rsid w:val="54D75F01"/>
    <w:rsid w:val="5DDA621E"/>
    <w:rsid w:val="6AE126B9"/>
    <w:rsid w:val="76B85740"/>
    <w:rsid w:val="7D0B6191"/>
    <w:rsid w:val="7F3F1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caption"/>
    <w:basedOn w:val="1"/>
    <w:next w:val="1"/>
    <w:qFormat/>
    <w:uiPriority w:val="35"/>
    <w:rPr>
      <w:rFonts w:ascii="Arial" w:hAnsi="Arial" w:eastAsia="黑体"/>
      <w:sz w:val="20"/>
      <w:szCs w:val="20"/>
    </w:rPr>
  </w:style>
  <w:style w:type="paragraph" w:styleId="4">
    <w:name w:val="toc 1"/>
    <w:basedOn w:val="1"/>
    <w:next w:val="1"/>
    <w:uiPriority w:val="0"/>
  </w:style>
  <w:style w:type="paragraph" w:styleId="5">
    <w:name w:val="Body Text 2"/>
    <w:basedOn w:val="1"/>
    <w:qFormat/>
    <w:uiPriority w:val="0"/>
    <w:pPr>
      <w:snapToGrid w:val="0"/>
      <w:spacing w:line="540" w:lineRule="exact"/>
    </w:pPr>
    <w:rPr>
      <w:rFonts w:eastAsia="方正仿宋_GBK"/>
      <w:color w:val="000000"/>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next w:val="3"/>
    <w:qFormat/>
    <w:uiPriority w:val="1"/>
    <w:pPr>
      <w:ind w:left="718" w:firstLine="640"/>
    </w:p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b="1"/>
              <a:t>双导师评价</a:t>
            </a:r>
            <a:endParaRPr altLang="zh-CN"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工作态度</c:v>
                </c:pt>
                <c:pt idx="1">
                  <c:v>工作内容</c:v>
                </c:pt>
                <c:pt idx="2">
                  <c:v>安全意识</c:v>
                </c:pt>
                <c:pt idx="3">
                  <c:v>语言表达能力</c:v>
                </c:pt>
              </c:strCache>
            </c:strRef>
          </c:cat>
          <c:val>
            <c:numRef>
              <c:f>Sheet1!$B$2:$B$5</c:f>
              <c:numCache>
                <c:formatCode>0%</c:formatCode>
                <c:ptCount val="4"/>
                <c:pt idx="0">
                  <c:v>0.15</c:v>
                </c:pt>
                <c:pt idx="1">
                  <c:v>0.5</c:v>
                </c:pt>
                <c:pt idx="2">
                  <c:v>0.2</c:v>
                </c:pt>
                <c:pt idx="3">
                  <c:v>0.15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12700"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同行</a:t>
            </a:r>
            <a:r>
              <a:rPr b="1">
                <a:solidFill>
                  <a:schemeClr val="tx1">
                    <a:lumMod val="65000"/>
                    <a:lumOff val="35000"/>
                  </a:schemeClr>
                </a:solidFill>
                <a:uFillTx/>
              </a:rPr>
              <a:t>评价</a:t>
            </a:r>
            <a:endParaRPr b="1">
              <a:solidFill>
                <a:schemeClr val="tx1">
                  <a:lumMod val="65000"/>
                  <a:lumOff val="35000"/>
                </a:schemeClr>
              </a:solidFill>
              <a:uFillTx/>
            </a:endParaRPr>
          </a:p>
        </c:rich>
      </c:tx>
      <c:layout>
        <c:manualLayout>
          <c:xMode val="edge"/>
          <c:yMode val="edge"/>
          <c:x val="0.355606407322654"/>
          <c:y val="0.0355450236966825"/>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教学态度</c:v>
                </c:pt>
                <c:pt idx="1">
                  <c:v>教学内容</c:v>
                </c:pt>
                <c:pt idx="2">
                  <c:v>教学效果</c:v>
                </c:pt>
                <c:pt idx="3">
                  <c:v>教学安全与纪律</c:v>
                </c:pt>
                <c:pt idx="4">
                  <c:v>教学组织管理</c:v>
                </c:pt>
              </c:strCache>
            </c:strRef>
          </c:cat>
          <c:val>
            <c:numRef>
              <c:f>Sheet1!$B$2:$B$6</c:f>
              <c:numCache>
                <c:formatCode>0%</c:formatCode>
                <c:ptCount val="5"/>
                <c:pt idx="0">
                  <c:v>0.1</c:v>
                </c:pt>
                <c:pt idx="1">
                  <c:v>0.5</c:v>
                </c:pt>
                <c:pt idx="2">
                  <c:v>0.2</c:v>
                </c:pt>
                <c:pt idx="3">
                  <c:v>0.1</c:v>
                </c:pt>
                <c:pt idx="4">
                  <c:v>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4"/>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12700"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学生评价</a:t>
            </a:r>
            <a:endParaRPr b="1"/>
          </a:p>
        </c:rich>
      </c:tx>
      <c:layout>
        <c:manualLayout>
          <c:xMode val="edge"/>
          <c:yMode val="edge"/>
          <c:x val="0.357314148681055"/>
          <c:y val="0.0299145299145299"/>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教学态度</c:v>
                </c:pt>
                <c:pt idx="1">
                  <c:v>教学内容</c:v>
                </c:pt>
                <c:pt idx="2">
                  <c:v>教学效果</c:v>
                </c:pt>
                <c:pt idx="3">
                  <c:v>教学安全与纪律</c:v>
                </c:pt>
                <c:pt idx="4">
                  <c:v>教学组织管理</c:v>
                </c:pt>
              </c:strCache>
            </c:strRef>
          </c:cat>
          <c:val>
            <c:numRef>
              <c:f>Sheet1!$B$2:$B$6</c:f>
              <c:numCache>
                <c:formatCode>0%</c:formatCode>
                <c:ptCount val="5"/>
                <c:pt idx="0">
                  <c:v>0.1</c:v>
                </c:pt>
                <c:pt idx="1">
                  <c:v>0.5</c:v>
                </c:pt>
                <c:pt idx="2">
                  <c:v>0.2</c:v>
                </c:pt>
                <c:pt idx="3">
                  <c:v>0.1</c:v>
                </c:pt>
                <c:pt idx="4">
                  <c:v>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1"/>
          <a:lstStyle/>
          <a:p>
            <a:pPr>
              <a:defRPr lang="zh-CN"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4"/>
        <c:txPr>
          <a:bodyPr rot="0" spcFirstLastPara="0" vertOverflow="ellipsis" vert="horz" wrap="square" anchor="ctr" anchorCtr="1"/>
          <a:lstStyle/>
          <a:p>
            <a:pPr>
              <a:defRPr lang="zh-CN"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043015587529976"/>
          <c:y val="0.70997150997151"/>
        </c:manualLayout>
      </c:layout>
      <c:overlay val="0"/>
      <c:spPr>
        <a:noFill/>
        <a:ln>
          <a:noFill/>
        </a:ln>
        <a:effectLst/>
      </c:spPr>
      <c:txPr>
        <a:bodyPr rot="0" spcFirstLastPara="0" vertOverflow="ellipsis" vert="horz" wrap="square" anchor="ctr" anchorCtr="1"/>
        <a:lstStyle/>
        <a:p>
          <a:pPr>
            <a:defRPr lang="zh-CN"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专家督导</a:t>
            </a:r>
            <a:endParaRPr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出勤情况及服装仪表</c:v>
                </c:pt>
                <c:pt idx="1">
                  <c:v>教学组织</c:v>
                </c:pt>
                <c:pt idx="2">
                  <c:v>教学秩序</c:v>
                </c:pt>
                <c:pt idx="3">
                  <c:v>小组分工合作与巡回指导</c:v>
                </c:pt>
              </c:strCache>
            </c:strRef>
          </c:cat>
          <c:val>
            <c:numRef>
              <c:f>Sheet1!$B$2:$B$5</c:f>
              <c:numCache>
                <c:formatCode>0%</c:formatCode>
                <c:ptCount val="4"/>
                <c:pt idx="0">
                  <c:v>0.1</c:v>
                </c:pt>
                <c:pt idx="1">
                  <c:v>0.5</c:v>
                </c:pt>
                <c:pt idx="2">
                  <c:v>0.2</c:v>
                </c:pt>
                <c:pt idx="3">
                  <c:v>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1"/>
          <a:lstStyle/>
          <a:p>
            <a:pPr>
              <a:defRPr lang="zh-CN"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教学系部</a:t>
            </a:r>
            <a:endParaRPr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工作态度</c:v>
                </c:pt>
                <c:pt idx="1">
                  <c:v>教学组织管理</c:v>
                </c:pt>
                <c:pt idx="2">
                  <c:v>教学业务能力</c:v>
                </c:pt>
                <c:pt idx="3">
                  <c:v>科研能力</c:v>
                </c:pt>
              </c:strCache>
            </c:strRef>
          </c:cat>
          <c:val>
            <c:numRef>
              <c:f>Sheet1!$B$2:$B$5</c:f>
              <c:numCache>
                <c:formatCode>0%</c:formatCode>
                <c:ptCount val="4"/>
                <c:pt idx="0">
                  <c:v>0.15</c:v>
                </c:pt>
                <c:pt idx="1">
                  <c:v>0.2</c:v>
                </c:pt>
                <c:pt idx="2">
                  <c:v>0.5</c:v>
                </c:pt>
                <c:pt idx="3">
                  <c:v>0.15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1"/>
          <a:lstStyle/>
          <a:p>
            <a:pPr>
              <a:defRPr lang="zh-CN"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1"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用人单位</a:t>
            </a:r>
            <a:endParaRPr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职业技能</c:v>
                </c:pt>
                <c:pt idx="1">
                  <c:v>组织能力</c:v>
                </c:pt>
                <c:pt idx="2">
                  <c:v>学生的职业素养</c:v>
                </c:pt>
                <c:pt idx="3">
                  <c:v>工匠精神</c:v>
                </c:pt>
              </c:strCache>
            </c:strRef>
          </c:cat>
          <c:val>
            <c:numRef>
              <c:f>Sheet1!$B$2:$B$5</c:f>
              <c:numCache>
                <c:formatCode>0%</c:formatCode>
                <c:ptCount val="4"/>
                <c:pt idx="0">
                  <c:v>0.4</c:v>
                </c:pt>
                <c:pt idx="1">
                  <c:v>0.15</c:v>
                </c:pt>
                <c:pt idx="2">
                  <c:v>0.4</c:v>
                </c:pt>
                <c:pt idx="3">
                  <c:v>0.05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16404</Words>
  <Characters>16675</Characters>
  <Lines>0</Lines>
  <Paragraphs>0</Paragraphs>
  <TotalTime>0</TotalTime>
  <ScaleCrop>false</ScaleCrop>
  <LinksUpToDate>false</LinksUpToDate>
  <CharactersWithSpaces>16727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2022-12-03T04:01:00Z</dcterms:created>
  <dc:creator>Administrator</dc:creator>
  <cp:lastModifiedBy>Administrator</cp:lastModifiedBy>
  <dcterms:modified xsi:type="dcterms:W3CDTF">2022-12-13T08:22:00Z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4F1E00107CA642028AA85B3404E7DB1E</vt:lpwstr>
  </property>
</Properties>
</file>